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920EC" w14:textId="226651B8" w:rsidR="00F232B1" w:rsidRPr="007E1BF2" w:rsidRDefault="00D36CA0" w:rsidP="00DF29AA">
      <w:pPr>
        <w:jc w:val="center"/>
        <w:rPr>
          <w:rFonts w:ascii="Arial" w:hAnsi="Arial" w:cs="Arial"/>
          <w:sz w:val="36"/>
          <w:szCs w:val="36"/>
          <w:lang w:val="fr-CA"/>
        </w:rPr>
      </w:pPr>
      <w:r w:rsidRPr="007E1BF2">
        <w:rPr>
          <w:rFonts w:ascii="Arial" w:hAnsi="Arial" w:cs="Arial"/>
          <w:sz w:val="36"/>
          <w:szCs w:val="36"/>
          <w:lang w:val="fr-CA"/>
        </w:rPr>
        <w:t xml:space="preserve">Chaudière à condensation ignitubulaire à </w:t>
      </w:r>
      <w:r w:rsidR="006F2D44" w:rsidRPr="007E1BF2">
        <w:rPr>
          <w:rFonts w:ascii="Arial" w:hAnsi="Arial" w:cs="Arial"/>
          <w:sz w:val="36"/>
          <w:szCs w:val="36"/>
          <w:lang w:val="fr-CA"/>
        </w:rPr>
        <w:t>efficacité</w:t>
      </w:r>
      <w:r w:rsidRPr="007E1BF2">
        <w:rPr>
          <w:rFonts w:ascii="Arial" w:hAnsi="Arial" w:cs="Arial"/>
          <w:sz w:val="36"/>
          <w:szCs w:val="36"/>
          <w:lang w:val="fr-CA"/>
        </w:rPr>
        <w:t xml:space="preserve"> élevé</w:t>
      </w:r>
      <w:r w:rsidR="006F2D44" w:rsidRPr="007E1BF2">
        <w:rPr>
          <w:rFonts w:ascii="Arial" w:hAnsi="Arial" w:cs="Arial"/>
          <w:sz w:val="36"/>
          <w:szCs w:val="36"/>
          <w:lang w:val="fr-CA"/>
        </w:rPr>
        <w:t>e</w:t>
      </w:r>
      <w:r w:rsidRPr="007E1BF2">
        <w:rPr>
          <w:rFonts w:ascii="Arial" w:hAnsi="Arial" w:cs="Arial"/>
          <w:sz w:val="36"/>
          <w:szCs w:val="36"/>
          <w:lang w:val="fr-CA"/>
        </w:rPr>
        <w:t xml:space="preserve"> </w:t>
      </w:r>
      <w:r w:rsidR="00DF29AA" w:rsidRPr="007E1BF2">
        <w:rPr>
          <w:rFonts w:ascii="Arial" w:hAnsi="Arial" w:cs="Arial"/>
          <w:sz w:val="36"/>
          <w:szCs w:val="36"/>
          <w:lang w:val="fr-CA"/>
        </w:rPr>
        <w:t>NFB</w:t>
      </w:r>
      <w:r w:rsidR="001F7FDF" w:rsidRPr="007E1BF2">
        <w:rPr>
          <w:rFonts w:ascii="Arial" w:hAnsi="Arial" w:cs="Arial"/>
          <w:sz w:val="36"/>
          <w:szCs w:val="36"/>
          <w:lang w:val="fr-CA"/>
        </w:rPr>
        <w:t>-C</w:t>
      </w:r>
    </w:p>
    <w:p w14:paraId="42E0A9A4" w14:textId="0CC859E2" w:rsidR="00E04DF7" w:rsidRDefault="00D36CA0" w:rsidP="00DF29AA">
      <w:pPr>
        <w:jc w:val="center"/>
        <w:rPr>
          <w:rFonts w:ascii="Arial" w:hAnsi="Arial" w:cs="Arial"/>
          <w:sz w:val="36"/>
          <w:szCs w:val="36"/>
          <w:lang w:val="fr-CA"/>
        </w:rPr>
      </w:pPr>
      <w:r w:rsidRPr="007E1BF2">
        <w:rPr>
          <w:rFonts w:ascii="Arial" w:hAnsi="Arial" w:cs="Arial"/>
          <w:sz w:val="36"/>
          <w:szCs w:val="36"/>
          <w:lang w:val="fr-CA"/>
        </w:rPr>
        <w:t xml:space="preserve">Devis </w:t>
      </w:r>
      <w:r w:rsidR="007E1BF2" w:rsidRPr="007E1BF2">
        <w:rPr>
          <w:rFonts w:ascii="Arial" w:hAnsi="Arial" w:cs="Arial"/>
          <w:sz w:val="36"/>
          <w:szCs w:val="36"/>
          <w:lang w:val="fr-CA"/>
        </w:rPr>
        <w:t>d’ingénierie</w:t>
      </w:r>
    </w:p>
    <w:p w14:paraId="7D2CE0CE" w14:textId="77777777" w:rsidR="008021EE" w:rsidRPr="007E1BF2" w:rsidRDefault="008021EE" w:rsidP="00DF29AA">
      <w:pPr>
        <w:jc w:val="center"/>
        <w:rPr>
          <w:rFonts w:ascii="Arial" w:hAnsi="Arial" w:cs="Arial"/>
          <w:sz w:val="36"/>
          <w:szCs w:val="36"/>
          <w:lang w:val="fr-CA"/>
        </w:rPr>
      </w:pPr>
    </w:p>
    <w:p w14:paraId="3FD8E35A" w14:textId="34FADD07" w:rsidR="00DF29AA" w:rsidRPr="007E1BF2" w:rsidRDefault="007D7A05" w:rsidP="00DF29AA">
      <w:pPr>
        <w:jc w:val="center"/>
        <w:rPr>
          <w:rFonts w:ascii="Arial" w:hAnsi="Arial" w:cs="Arial"/>
          <w:b/>
          <w:i/>
          <w:sz w:val="28"/>
          <w:szCs w:val="28"/>
          <w:lang w:val="fr-CA"/>
        </w:rPr>
      </w:pPr>
      <w:r w:rsidRPr="007E1BF2">
        <w:rPr>
          <w:rFonts w:ascii="Arial" w:hAnsi="Arial" w:cs="Arial"/>
          <w:b/>
          <w:i/>
          <w:sz w:val="28"/>
          <w:szCs w:val="28"/>
          <w:lang w:val="fr-CA"/>
        </w:rPr>
        <w:t>Modè</w:t>
      </w:r>
      <w:r w:rsidR="00DF29AA" w:rsidRPr="007E1BF2">
        <w:rPr>
          <w:rFonts w:ascii="Arial" w:hAnsi="Arial" w:cs="Arial"/>
          <w:b/>
          <w:i/>
          <w:sz w:val="28"/>
          <w:szCs w:val="28"/>
          <w:lang w:val="fr-CA"/>
        </w:rPr>
        <w:t>l</w:t>
      </w:r>
      <w:r w:rsidRPr="007E1BF2">
        <w:rPr>
          <w:rFonts w:ascii="Arial" w:hAnsi="Arial" w:cs="Arial"/>
          <w:b/>
          <w:i/>
          <w:sz w:val="28"/>
          <w:szCs w:val="28"/>
          <w:lang w:val="fr-CA"/>
        </w:rPr>
        <w:t>e</w:t>
      </w:r>
      <w:r w:rsidR="00DF29AA" w:rsidRPr="007E1BF2">
        <w:rPr>
          <w:rFonts w:ascii="Arial" w:hAnsi="Arial" w:cs="Arial"/>
          <w:b/>
          <w:i/>
          <w:sz w:val="28"/>
          <w:szCs w:val="28"/>
          <w:lang w:val="fr-CA"/>
        </w:rPr>
        <w:t xml:space="preserve"> </w:t>
      </w:r>
      <w:r w:rsidR="00C253F0" w:rsidRPr="007E1BF2">
        <w:rPr>
          <w:rFonts w:ascii="Arial" w:hAnsi="Arial" w:cs="Arial"/>
          <w:b/>
          <w:i/>
          <w:sz w:val="28"/>
          <w:szCs w:val="28"/>
          <w:lang w:val="fr-CA"/>
        </w:rPr>
        <w:t>301</w:t>
      </w:r>
      <w:r w:rsidRPr="007E1BF2">
        <w:rPr>
          <w:rFonts w:ascii="Arial" w:hAnsi="Arial" w:cs="Arial"/>
          <w:b/>
          <w:i/>
          <w:sz w:val="28"/>
          <w:szCs w:val="28"/>
          <w:lang w:val="fr-CA"/>
        </w:rPr>
        <w:t xml:space="preserve"> </w:t>
      </w:r>
      <w:r w:rsidR="00DF29AA" w:rsidRPr="007E1BF2">
        <w:rPr>
          <w:rFonts w:ascii="Arial" w:hAnsi="Arial" w:cs="Arial"/>
          <w:b/>
          <w:i/>
          <w:sz w:val="28"/>
          <w:szCs w:val="28"/>
          <w:lang w:val="fr-CA"/>
        </w:rPr>
        <w:t xml:space="preserve">000 </w:t>
      </w:r>
      <w:r w:rsidR="008A6160">
        <w:rPr>
          <w:rFonts w:ascii="Arial" w:hAnsi="Arial" w:cs="Arial"/>
          <w:b/>
          <w:i/>
          <w:sz w:val="28"/>
          <w:szCs w:val="28"/>
          <w:lang w:val="fr-CA"/>
        </w:rPr>
        <w:t>Btu/h</w:t>
      </w:r>
      <w:r w:rsidR="00FE65CE" w:rsidRPr="007E1BF2">
        <w:rPr>
          <w:rFonts w:ascii="Arial" w:hAnsi="Arial" w:cs="Arial"/>
          <w:b/>
          <w:i/>
          <w:sz w:val="28"/>
          <w:szCs w:val="28"/>
          <w:lang w:val="fr-CA"/>
        </w:rPr>
        <w:t xml:space="preserve"> </w:t>
      </w:r>
      <w:r w:rsidRPr="007E1BF2">
        <w:rPr>
          <w:rFonts w:ascii="Arial" w:hAnsi="Arial" w:cs="Arial"/>
          <w:b/>
          <w:i/>
          <w:sz w:val="28"/>
          <w:szCs w:val="28"/>
          <w:lang w:val="fr-CA"/>
        </w:rPr>
        <w:t>et modèle</w:t>
      </w:r>
      <w:r w:rsidR="00DF29AA" w:rsidRPr="007E1BF2">
        <w:rPr>
          <w:rFonts w:ascii="Arial" w:hAnsi="Arial" w:cs="Arial"/>
          <w:b/>
          <w:i/>
          <w:sz w:val="28"/>
          <w:szCs w:val="28"/>
          <w:lang w:val="fr-CA"/>
        </w:rPr>
        <w:t xml:space="preserve"> </w:t>
      </w:r>
      <w:r w:rsidR="00C253F0" w:rsidRPr="007E1BF2">
        <w:rPr>
          <w:rFonts w:ascii="Arial" w:hAnsi="Arial" w:cs="Arial"/>
          <w:b/>
          <w:i/>
          <w:sz w:val="28"/>
          <w:szCs w:val="28"/>
          <w:lang w:val="fr-CA"/>
        </w:rPr>
        <w:t>3</w:t>
      </w:r>
      <w:r w:rsidRPr="007E1BF2">
        <w:rPr>
          <w:rFonts w:ascii="Arial" w:hAnsi="Arial" w:cs="Arial"/>
          <w:b/>
          <w:i/>
          <w:sz w:val="28"/>
          <w:szCs w:val="28"/>
          <w:lang w:val="fr-CA"/>
        </w:rPr>
        <w:t xml:space="preserve">99 </w:t>
      </w:r>
      <w:r w:rsidR="00DC6141" w:rsidRPr="007E1BF2">
        <w:rPr>
          <w:rFonts w:ascii="Arial" w:hAnsi="Arial" w:cs="Arial"/>
          <w:b/>
          <w:i/>
          <w:sz w:val="28"/>
          <w:szCs w:val="28"/>
          <w:lang w:val="fr-CA"/>
        </w:rPr>
        <w:t>9</w:t>
      </w:r>
      <w:r w:rsidR="00DF29AA" w:rsidRPr="007E1BF2">
        <w:rPr>
          <w:rFonts w:ascii="Arial" w:hAnsi="Arial" w:cs="Arial"/>
          <w:b/>
          <w:i/>
          <w:sz w:val="28"/>
          <w:szCs w:val="28"/>
          <w:lang w:val="fr-CA"/>
        </w:rPr>
        <w:t xml:space="preserve">00 </w:t>
      </w:r>
      <w:r w:rsidR="008A6160">
        <w:rPr>
          <w:rFonts w:ascii="Arial" w:hAnsi="Arial" w:cs="Arial"/>
          <w:b/>
          <w:i/>
          <w:sz w:val="28"/>
          <w:szCs w:val="28"/>
          <w:lang w:val="fr-CA"/>
        </w:rPr>
        <w:t>Btu/h</w:t>
      </w:r>
    </w:p>
    <w:p w14:paraId="79693D2C" w14:textId="0C945286" w:rsidR="00D21451" w:rsidRPr="007E1BF2" w:rsidRDefault="007D7A05" w:rsidP="00746FA8">
      <w:pPr>
        <w:pStyle w:val="Paragraphedeliste"/>
        <w:numPr>
          <w:ilvl w:val="0"/>
          <w:numId w:val="1"/>
        </w:numPr>
        <w:tabs>
          <w:tab w:val="left" w:pos="450"/>
        </w:tabs>
        <w:ind w:hanging="720"/>
        <w:rPr>
          <w:rFonts w:ascii="Arial" w:hAnsi="Arial" w:cs="Arial"/>
          <w:b/>
          <w:lang w:val="fr-CA"/>
        </w:rPr>
      </w:pPr>
      <w:r w:rsidRPr="007E1BF2">
        <w:rPr>
          <w:rFonts w:ascii="Arial" w:hAnsi="Arial" w:cs="Arial"/>
          <w:b/>
          <w:lang w:val="fr-CA"/>
        </w:rPr>
        <w:t>Exigences générales</w:t>
      </w:r>
    </w:p>
    <w:p w14:paraId="555CBD97" w14:textId="03D527F8" w:rsidR="00C23386" w:rsidRPr="007E1BF2" w:rsidRDefault="007D7A05" w:rsidP="00F43F43">
      <w:pPr>
        <w:pStyle w:val="Paragraphedeliste"/>
        <w:numPr>
          <w:ilvl w:val="1"/>
          <w:numId w:val="1"/>
        </w:numPr>
        <w:tabs>
          <w:tab w:val="left" w:pos="450"/>
        </w:tabs>
        <w:rPr>
          <w:rFonts w:ascii="Arial" w:hAnsi="Arial" w:cs="Arial"/>
          <w:lang w:val="fr-CA"/>
        </w:rPr>
      </w:pPr>
      <w:r w:rsidRPr="007E1BF2">
        <w:rPr>
          <w:rFonts w:ascii="Arial" w:hAnsi="Arial" w:cs="Arial"/>
          <w:lang w:val="fr-CA"/>
        </w:rPr>
        <w:t>Portée du projet</w:t>
      </w:r>
    </w:p>
    <w:p w14:paraId="53982560" w14:textId="58F7DF3A" w:rsidR="007D7A05" w:rsidRPr="007E1BF2" w:rsidRDefault="00A8202A" w:rsidP="00A8202A">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Fournir et installer _____ (qté) chaudière(s) à condensation à </w:t>
      </w:r>
      <w:r w:rsidR="006F2D44" w:rsidRPr="007E1BF2">
        <w:rPr>
          <w:rFonts w:ascii="Arial" w:hAnsi="Arial" w:cs="Arial"/>
          <w:lang w:val="fr-CA"/>
        </w:rPr>
        <w:t>efficacité</w:t>
      </w:r>
      <w:r w:rsidRPr="007E1BF2">
        <w:rPr>
          <w:rFonts w:ascii="Arial" w:hAnsi="Arial" w:cs="Arial"/>
          <w:lang w:val="fr-CA"/>
        </w:rPr>
        <w:t xml:space="preserve"> élevé</w:t>
      </w:r>
      <w:r w:rsidR="008021EE">
        <w:rPr>
          <w:rFonts w:ascii="Arial" w:hAnsi="Arial" w:cs="Arial"/>
          <w:lang w:val="fr-CA"/>
        </w:rPr>
        <w:t>e</w:t>
      </w:r>
      <w:r w:rsidRPr="007E1BF2">
        <w:rPr>
          <w:rFonts w:ascii="Arial" w:hAnsi="Arial" w:cs="Arial"/>
          <w:lang w:val="fr-CA"/>
        </w:rPr>
        <w:t>, à combustion étanche, modulante(s), ventilée(s) mécaniquement et utilisant l’air intérieur ou extérieur comme air de combustion.</w:t>
      </w:r>
    </w:p>
    <w:p w14:paraId="3BE7B0AE" w14:textId="78A4776E" w:rsidR="00D21451" w:rsidRPr="007E1BF2" w:rsidRDefault="00D21451" w:rsidP="00746FA8">
      <w:pPr>
        <w:pStyle w:val="Sansinterligne"/>
        <w:rPr>
          <w:lang w:val="fr-CA"/>
        </w:rPr>
      </w:pPr>
    </w:p>
    <w:p w14:paraId="4271E1B2" w14:textId="4C08667D" w:rsidR="00F43F43" w:rsidRPr="007E1BF2" w:rsidRDefault="007D7A05" w:rsidP="00F43F43">
      <w:pPr>
        <w:pStyle w:val="Paragraphedeliste"/>
        <w:numPr>
          <w:ilvl w:val="1"/>
          <w:numId w:val="1"/>
        </w:numPr>
        <w:tabs>
          <w:tab w:val="left" w:pos="450"/>
        </w:tabs>
        <w:rPr>
          <w:rFonts w:ascii="Arial" w:hAnsi="Arial" w:cs="Arial"/>
          <w:lang w:val="fr-CA"/>
        </w:rPr>
      </w:pPr>
      <w:r w:rsidRPr="007E1BF2">
        <w:rPr>
          <w:rFonts w:ascii="Arial" w:hAnsi="Arial" w:cs="Arial"/>
          <w:lang w:val="fr-CA"/>
        </w:rPr>
        <w:t>Fabricants acceptés</w:t>
      </w:r>
    </w:p>
    <w:p w14:paraId="16D5162E" w14:textId="2FB0F60D" w:rsidR="00A8202A" w:rsidRDefault="008021EE" w:rsidP="006F2D44">
      <w:pPr>
        <w:pStyle w:val="Paragraphedeliste"/>
        <w:numPr>
          <w:ilvl w:val="2"/>
          <w:numId w:val="1"/>
        </w:numPr>
        <w:tabs>
          <w:tab w:val="left" w:pos="450"/>
        </w:tabs>
        <w:rPr>
          <w:rFonts w:ascii="Arial" w:hAnsi="Arial" w:cs="Arial"/>
          <w:lang w:val="fr-CA"/>
        </w:rPr>
      </w:pPr>
      <w:r>
        <w:rPr>
          <w:noProof/>
          <w:lang w:val="fr-CA" w:eastAsia="fr-CA"/>
        </w:rPr>
        <w:drawing>
          <wp:anchor distT="0" distB="0" distL="114300" distR="114300" simplePos="0" relativeHeight="251658240" behindDoc="0" locked="0" layoutInCell="1" allowOverlap="1" wp14:anchorId="05B5F428" wp14:editId="751A5FA9">
            <wp:simplePos x="0" y="0"/>
            <wp:positionH relativeFrom="margin">
              <wp:align>center</wp:align>
            </wp:positionH>
            <wp:positionV relativeFrom="paragraph">
              <wp:posOffset>983615</wp:posOffset>
            </wp:positionV>
            <wp:extent cx="5238750" cy="13589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38750" cy="1358900"/>
                    </a:xfrm>
                    <a:prstGeom prst="rect">
                      <a:avLst/>
                    </a:prstGeom>
                  </pic:spPr>
                </pic:pic>
              </a:graphicData>
            </a:graphic>
            <wp14:sizeRelH relativeFrom="page">
              <wp14:pctWidth>0</wp14:pctWidth>
            </wp14:sizeRelH>
            <wp14:sizeRelV relativeFrom="page">
              <wp14:pctHeight>0</wp14:pctHeight>
            </wp14:sizeRelV>
          </wp:anchor>
        </w:drawing>
      </w:r>
      <w:r w:rsidR="00A8202A" w:rsidRPr="007E1BF2">
        <w:rPr>
          <w:rFonts w:ascii="Arial" w:hAnsi="Arial" w:cs="Arial"/>
          <w:lang w:val="fr-CA"/>
        </w:rPr>
        <w:t>La chaudière doit avoir des caractéristiques de conception basées sur le mod</w:t>
      </w:r>
      <w:r w:rsidR="001B7E02" w:rsidRPr="007E1BF2">
        <w:rPr>
          <w:rFonts w:ascii="Arial" w:hAnsi="Arial" w:cs="Arial"/>
          <w:lang w:val="fr-CA"/>
        </w:rPr>
        <w:t xml:space="preserve">èle Navien NFB____, avec une capacité d’entrée de ____ </w:t>
      </w:r>
      <w:r w:rsidR="008A6160">
        <w:rPr>
          <w:rFonts w:ascii="Arial" w:hAnsi="Arial" w:cs="Arial"/>
          <w:lang w:val="fr-CA"/>
        </w:rPr>
        <w:t>Btu/h</w:t>
      </w:r>
      <w:r w:rsidR="001B7E02" w:rsidRPr="007E1BF2">
        <w:rPr>
          <w:rFonts w:ascii="Arial" w:hAnsi="Arial" w:cs="Arial"/>
          <w:lang w:val="fr-CA"/>
        </w:rPr>
        <w:t xml:space="preserve"> et une puissance de sortie ____ </w:t>
      </w:r>
      <w:r w:rsidR="008A6160">
        <w:rPr>
          <w:rFonts w:ascii="Arial" w:hAnsi="Arial" w:cs="Arial"/>
          <w:lang w:val="fr-CA"/>
        </w:rPr>
        <w:t>Btu/h</w:t>
      </w:r>
      <w:r w:rsidR="001B7E02" w:rsidRPr="007E1BF2">
        <w:rPr>
          <w:rFonts w:ascii="Arial" w:hAnsi="Arial" w:cs="Arial"/>
          <w:lang w:val="fr-CA"/>
        </w:rPr>
        <w:t>. Elle doit être conçu</w:t>
      </w:r>
      <w:r w:rsidR="006F2D44" w:rsidRPr="007E1BF2">
        <w:rPr>
          <w:rFonts w:ascii="Arial" w:hAnsi="Arial" w:cs="Arial"/>
          <w:lang w:val="fr-CA"/>
        </w:rPr>
        <w:t>e</w:t>
      </w:r>
      <w:r w:rsidR="001B7E02" w:rsidRPr="007E1BF2">
        <w:rPr>
          <w:rFonts w:ascii="Arial" w:hAnsi="Arial" w:cs="Arial"/>
          <w:lang w:val="fr-CA"/>
        </w:rPr>
        <w:t xml:space="preserve"> pour fonctionner au gaz naturel (GN) </w:t>
      </w:r>
      <w:r w:rsidR="006F2D44" w:rsidRPr="007E1BF2">
        <w:rPr>
          <w:rFonts w:ascii="Arial" w:hAnsi="Arial" w:cs="Arial"/>
          <w:lang w:val="fr-CA"/>
        </w:rPr>
        <w:t>et</w:t>
      </w:r>
      <w:r w:rsidR="001B7E02" w:rsidRPr="007E1BF2">
        <w:rPr>
          <w:rFonts w:ascii="Arial" w:hAnsi="Arial" w:cs="Arial"/>
          <w:lang w:val="fr-CA"/>
        </w:rPr>
        <w:t xml:space="preserve"> au </w:t>
      </w:r>
      <w:r w:rsidR="006F2D44" w:rsidRPr="007E1BF2">
        <w:rPr>
          <w:rFonts w:ascii="Arial" w:hAnsi="Arial" w:cs="Arial"/>
          <w:lang w:val="fr-CA"/>
        </w:rPr>
        <w:t xml:space="preserve">gaz </w:t>
      </w:r>
      <w:r w:rsidR="001B7E02" w:rsidRPr="007E1BF2">
        <w:rPr>
          <w:rFonts w:ascii="Arial" w:hAnsi="Arial" w:cs="Arial"/>
          <w:lang w:val="fr-CA"/>
        </w:rPr>
        <w:t>propane (</w:t>
      </w:r>
      <w:r w:rsidR="006F2D44" w:rsidRPr="007E1BF2">
        <w:rPr>
          <w:rFonts w:ascii="Arial" w:hAnsi="Arial" w:cs="Arial"/>
          <w:lang w:val="fr-CA"/>
        </w:rPr>
        <w:t>PL</w:t>
      </w:r>
      <w:r w:rsidR="001B7E02" w:rsidRPr="007E1BF2">
        <w:rPr>
          <w:rFonts w:ascii="Arial" w:hAnsi="Arial" w:cs="Arial"/>
          <w:lang w:val="fr-CA"/>
        </w:rPr>
        <w:t>)</w:t>
      </w:r>
      <w:r w:rsidR="006F2D44" w:rsidRPr="007E1BF2">
        <w:rPr>
          <w:rFonts w:ascii="Arial" w:hAnsi="Arial" w:cs="Arial"/>
          <w:lang w:val="fr-CA"/>
        </w:rPr>
        <w:t>,</w:t>
      </w:r>
      <w:r w:rsidR="001B7E02" w:rsidRPr="007E1BF2">
        <w:rPr>
          <w:rFonts w:ascii="Arial" w:hAnsi="Arial" w:cs="Arial"/>
          <w:lang w:val="fr-CA"/>
        </w:rPr>
        <w:t xml:space="preserve"> et assurer le rendement suivant :</w:t>
      </w:r>
    </w:p>
    <w:p w14:paraId="742E5A4D" w14:textId="57ABCB6E" w:rsidR="00DC6141" w:rsidRPr="007E1BF2" w:rsidRDefault="00DC6141" w:rsidP="00DC6141">
      <w:pPr>
        <w:pStyle w:val="Paragraphedeliste"/>
        <w:tabs>
          <w:tab w:val="left" w:pos="450"/>
        </w:tabs>
        <w:rPr>
          <w:rFonts w:ascii="Arial" w:hAnsi="Arial" w:cs="Arial"/>
          <w:lang w:val="fr-CA"/>
        </w:rPr>
      </w:pPr>
    </w:p>
    <w:p w14:paraId="57A3B8AA" w14:textId="35F2CFD4" w:rsidR="001B7E02" w:rsidRPr="007E1BF2" w:rsidRDefault="001B7E02" w:rsidP="0085155E">
      <w:pPr>
        <w:pStyle w:val="Paragraphedeliste"/>
        <w:numPr>
          <w:ilvl w:val="2"/>
          <w:numId w:val="1"/>
        </w:numPr>
        <w:tabs>
          <w:tab w:val="left" w:pos="450"/>
        </w:tabs>
        <w:rPr>
          <w:rFonts w:ascii="Arial" w:hAnsi="Arial" w:cs="Arial"/>
          <w:lang w:val="fr-CA"/>
        </w:rPr>
      </w:pPr>
      <w:r w:rsidRPr="007E1BF2">
        <w:rPr>
          <w:rFonts w:ascii="Arial" w:hAnsi="Arial" w:cs="Arial"/>
          <w:lang w:val="fr-CA"/>
        </w:rPr>
        <w:t>La chaudière doit posséder un taux de modulation d’au moins 15:1</w:t>
      </w:r>
      <w:r w:rsidR="006F2D44" w:rsidRPr="007E1BF2">
        <w:rPr>
          <w:rFonts w:ascii="Arial" w:hAnsi="Arial" w:cs="Arial"/>
          <w:lang w:val="fr-CA"/>
        </w:rPr>
        <w:t>, avec une modulation totale situé</w:t>
      </w:r>
      <w:r w:rsidR="008021EE">
        <w:rPr>
          <w:rFonts w:ascii="Arial" w:hAnsi="Arial" w:cs="Arial"/>
          <w:lang w:val="fr-CA"/>
        </w:rPr>
        <w:t>e</w:t>
      </w:r>
      <w:r w:rsidR="006F2D44" w:rsidRPr="007E1BF2">
        <w:rPr>
          <w:rFonts w:ascii="Arial" w:hAnsi="Arial" w:cs="Arial"/>
          <w:lang w:val="fr-CA"/>
        </w:rPr>
        <w:t xml:space="preserve"> entre la puissance de sortie maximale et minimale.</w:t>
      </w:r>
    </w:p>
    <w:p w14:paraId="5C643D18" w14:textId="2C01718E" w:rsidR="006F2D44" w:rsidRPr="007E1BF2" w:rsidRDefault="006F2D44" w:rsidP="0085155E">
      <w:pPr>
        <w:pStyle w:val="Paragraphedeliste"/>
        <w:numPr>
          <w:ilvl w:val="2"/>
          <w:numId w:val="1"/>
        </w:numPr>
        <w:tabs>
          <w:tab w:val="left" w:pos="450"/>
        </w:tabs>
        <w:rPr>
          <w:rFonts w:ascii="Arial" w:hAnsi="Arial" w:cs="Arial"/>
          <w:lang w:val="fr-CA"/>
        </w:rPr>
      </w:pPr>
      <w:r w:rsidRPr="007E1BF2">
        <w:rPr>
          <w:rFonts w:ascii="Arial" w:hAnsi="Arial" w:cs="Arial"/>
          <w:lang w:val="fr-CA"/>
        </w:rPr>
        <w:t>La chaudière doit être conçue pour fonctionner au gaz naturel (GN) et au gaz propane (PL). La pression de fonctionnement normal</w:t>
      </w:r>
      <w:r w:rsidR="0088310A" w:rsidRPr="007E1BF2">
        <w:rPr>
          <w:rFonts w:ascii="Arial" w:hAnsi="Arial" w:cs="Arial"/>
          <w:lang w:val="fr-CA"/>
        </w:rPr>
        <w:t>e</w:t>
      </w:r>
      <w:r w:rsidRPr="007E1BF2">
        <w:rPr>
          <w:rFonts w:ascii="Arial" w:hAnsi="Arial" w:cs="Arial"/>
          <w:lang w:val="fr-CA"/>
        </w:rPr>
        <w:t xml:space="preserve"> de la chaudière au gaz naturel doit être </w:t>
      </w:r>
      <w:r w:rsidR="0088310A" w:rsidRPr="007E1BF2">
        <w:rPr>
          <w:rFonts w:ascii="Arial" w:hAnsi="Arial" w:cs="Arial"/>
          <w:lang w:val="fr-CA"/>
        </w:rPr>
        <w:t xml:space="preserve">entre 0,87 kPa (3,5 po d’eau) et </w:t>
      </w:r>
      <w:r w:rsidR="008A6160">
        <w:rPr>
          <w:rFonts w:ascii="Arial" w:hAnsi="Arial" w:cs="Arial"/>
          <w:lang w:val="fr-CA"/>
        </w:rPr>
        <w:t xml:space="preserve">     </w:t>
      </w:r>
      <w:r w:rsidR="0088310A" w:rsidRPr="007E1BF2">
        <w:rPr>
          <w:rFonts w:ascii="Arial" w:hAnsi="Arial" w:cs="Arial"/>
          <w:lang w:val="fr-CA"/>
        </w:rPr>
        <w:t xml:space="preserve">2,62 kPa (10,5 po d’eau). La pression de fonctionnement normale de la chaudière au gaz propane doit être entre 1,99 kPa (8 po d’eau) et </w:t>
      </w:r>
      <w:r w:rsidR="008A6160">
        <w:rPr>
          <w:rFonts w:ascii="Arial" w:hAnsi="Arial" w:cs="Arial"/>
          <w:lang w:val="fr-CA"/>
        </w:rPr>
        <w:t xml:space="preserve">      </w:t>
      </w:r>
      <w:r w:rsidR="0088310A" w:rsidRPr="007E1BF2">
        <w:rPr>
          <w:rFonts w:ascii="Arial" w:hAnsi="Arial" w:cs="Arial"/>
          <w:lang w:val="fr-CA"/>
        </w:rPr>
        <w:t>3,36 kPa (13,5 po d’eau).</w:t>
      </w:r>
    </w:p>
    <w:p w14:paraId="2A7017CE" w14:textId="77777777" w:rsidR="00D21451" w:rsidRPr="007E1BF2" w:rsidRDefault="00D21451" w:rsidP="00746FA8">
      <w:pPr>
        <w:pStyle w:val="Sansinterligne"/>
        <w:rPr>
          <w:lang w:val="fr-CA"/>
        </w:rPr>
      </w:pPr>
    </w:p>
    <w:p w14:paraId="294E0750" w14:textId="77777777" w:rsidR="0085155E" w:rsidRPr="007E1BF2" w:rsidRDefault="0085155E" w:rsidP="0085155E">
      <w:pPr>
        <w:pStyle w:val="Paragraphedeliste"/>
        <w:numPr>
          <w:ilvl w:val="1"/>
          <w:numId w:val="1"/>
        </w:numPr>
        <w:tabs>
          <w:tab w:val="left" w:pos="450"/>
        </w:tabs>
        <w:rPr>
          <w:rFonts w:ascii="Arial" w:hAnsi="Arial" w:cs="Arial"/>
          <w:lang w:val="fr-CA"/>
        </w:rPr>
      </w:pPr>
      <w:r w:rsidRPr="007E1BF2">
        <w:rPr>
          <w:rFonts w:ascii="Arial" w:hAnsi="Arial" w:cs="Arial"/>
          <w:lang w:val="fr-CA"/>
        </w:rPr>
        <w:t>Installatio</w:t>
      </w:r>
      <w:bookmarkStart w:id="0" w:name="_GoBack"/>
      <w:bookmarkEnd w:id="0"/>
      <w:r w:rsidRPr="007E1BF2">
        <w:rPr>
          <w:rFonts w:ascii="Arial" w:hAnsi="Arial" w:cs="Arial"/>
          <w:lang w:val="fr-CA"/>
        </w:rPr>
        <w:t>n</w:t>
      </w:r>
    </w:p>
    <w:p w14:paraId="69E36A84" w14:textId="369A8CC5" w:rsidR="0088310A" w:rsidRPr="007E1BF2" w:rsidRDefault="0088310A" w:rsidP="0085155E">
      <w:pPr>
        <w:pStyle w:val="Paragraphedeliste"/>
        <w:numPr>
          <w:ilvl w:val="2"/>
          <w:numId w:val="1"/>
        </w:numPr>
        <w:tabs>
          <w:tab w:val="left" w:pos="450"/>
        </w:tabs>
        <w:rPr>
          <w:rFonts w:ascii="Arial" w:hAnsi="Arial" w:cs="Arial"/>
          <w:lang w:val="fr-CA"/>
        </w:rPr>
      </w:pPr>
      <w:r w:rsidRPr="007E1BF2">
        <w:rPr>
          <w:rFonts w:ascii="Arial" w:hAnsi="Arial" w:cs="Arial"/>
          <w:lang w:val="fr-CA"/>
        </w:rPr>
        <w:t>La chaudière doit être installée en conformité avec le manuel d’installation et d’utilisation de Navien.</w:t>
      </w:r>
    </w:p>
    <w:p w14:paraId="645978BF" w14:textId="77777777" w:rsidR="00746FA8" w:rsidRPr="007E1BF2" w:rsidRDefault="00746FA8" w:rsidP="004431D1">
      <w:pPr>
        <w:tabs>
          <w:tab w:val="left" w:pos="450"/>
        </w:tabs>
        <w:rPr>
          <w:rFonts w:ascii="Arial" w:hAnsi="Arial" w:cs="Arial"/>
          <w:lang w:val="fr-CA"/>
        </w:rPr>
      </w:pPr>
    </w:p>
    <w:p w14:paraId="577A1485" w14:textId="74DDEEF8" w:rsidR="00746FA8" w:rsidRPr="007E1BF2" w:rsidRDefault="00C23386" w:rsidP="00746FA8">
      <w:pPr>
        <w:pStyle w:val="Paragraphedeliste"/>
        <w:numPr>
          <w:ilvl w:val="0"/>
          <w:numId w:val="1"/>
        </w:numPr>
        <w:tabs>
          <w:tab w:val="left" w:pos="450"/>
        </w:tabs>
        <w:ind w:hanging="720"/>
        <w:rPr>
          <w:rFonts w:ascii="Arial" w:hAnsi="Arial" w:cs="Arial"/>
          <w:b/>
          <w:lang w:val="fr-CA"/>
        </w:rPr>
      </w:pPr>
      <w:r w:rsidRPr="007E1BF2">
        <w:rPr>
          <w:rFonts w:ascii="Arial" w:hAnsi="Arial" w:cs="Arial"/>
          <w:lang w:val="fr-CA"/>
        </w:rPr>
        <w:t xml:space="preserve"> </w:t>
      </w:r>
      <w:r w:rsidR="0088310A" w:rsidRPr="007E1BF2">
        <w:rPr>
          <w:rFonts w:ascii="Arial" w:hAnsi="Arial" w:cs="Arial"/>
          <w:b/>
          <w:lang w:val="fr-CA"/>
        </w:rPr>
        <w:t>Certifications requises</w:t>
      </w:r>
    </w:p>
    <w:p w14:paraId="5BE2580E" w14:textId="12EB9D8D" w:rsidR="0088310A" w:rsidRPr="007E1BF2" w:rsidRDefault="0088310A" w:rsidP="004955A7">
      <w:pPr>
        <w:pStyle w:val="Paragraphedeliste"/>
        <w:numPr>
          <w:ilvl w:val="1"/>
          <w:numId w:val="1"/>
        </w:numPr>
        <w:tabs>
          <w:tab w:val="left" w:pos="450"/>
        </w:tabs>
        <w:rPr>
          <w:rFonts w:ascii="Arial" w:hAnsi="Arial" w:cs="Arial"/>
          <w:lang w:val="fr-CA"/>
        </w:rPr>
      </w:pPr>
      <w:r w:rsidRPr="007E1BF2">
        <w:rPr>
          <w:rFonts w:ascii="Arial" w:hAnsi="Arial" w:cs="Arial"/>
          <w:lang w:val="fr-CA"/>
        </w:rPr>
        <w:t>La chaudière doit être certifi</w:t>
      </w:r>
      <w:r w:rsidR="004263DB">
        <w:rPr>
          <w:rFonts w:ascii="Arial" w:hAnsi="Arial" w:cs="Arial"/>
          <w:lang w:val="fr-CA"/>
        </w:rPr>
        <w:t>ée selon les normes ANSI Z21.13/</w:t>
      </w:r>
      <w:r w:rsidRPr="007E1BF2">
        <w:rPr>
          <w:rFonts w:ascii="Arial" w:hAnsi="Arial" w:cs="Arial"/>
          <w:lang w:val="fr-CA"/>
        </w:rPr>
        <w:t>CSA 4.9 – 2017 pour les chaudières à gaz et ANSI Z223.1/NFPA 54 CSA B149.1.</w:t>
      </w:r>
    </w:p>
    <w:p w14:paraId="101D419C" w14:textId="278FA28D" w:rsidR="0088310A" w:rsidRPr="007E1BF2" w:rsidRDefault="0088310A" w:rsidP="004955A7">
      <w:pPr>
        <w:pStyle w:val="Paragraphedeliste"/>
        <w:numPr>
          <w:ilvl w:val="1"/>
          <w:numId w:val="1"/>
        </w:numPr>
        <w:tabs>
          <w:tab w:val="left" w:pos="450"/>
        </w:tabs>
        <w:rPr>
          <w:rFonts w:ascii="Arial" w:hAnsi="Arial" w:cs="Arial"/>
          <w:lang w:val="fr-CA"/>
        </w:rPr>
      </w:pPr>
      <w:r w:rsidRPr="007E1BF2">
        <w:rPr>
          <w:rFonts w:ascii="Arial" w:hAnsi="Arial" w:cs="Arial"/>
          <w:lang w:val="fr-CA"/>
        </w:rPr>
        <w:t>La chaudière doit être certifiée et homologuée par le groupe CSA comme étant conforme à la dernière édition de la norme CSA 4.9 au Canada et ANSI Z21.13 aux É.-U.</w:t>
      </w:r>
    </w:p>
    <w:p w14:paraId="4C5BD24A" w14:textId="1541EE7E" w:rsidR="0088310A" w:rsidRPr="007E1BF2" w:rsidRDefault="0088310A" w:rsidP="004955A7">
      <w:pPr>
        <w:pStyle w:val="Paragraphedeliste"/>
        <w:numPr>
          <w:ilvl w:val="1"/>
          <w:numId w:val="1"/>
        </w:numPr>
        <w:tabs>
          <w:tab w:val="left" w:pos="450"/>
        </w:tabs>
        <w:rPr>
          <w:rFonts w:ascii="Arial" w:hAnsi="Arial" w:cs="Arial"/>
          <w:lang w:val="fr-CA"/>
        </w:rPr>
      </w:pPr>
      <w:r w:rsidRPr="007E1BF2">
        <w:rPr>
          <w:rFonts w:ascii="Arial" w:hAnsi="Arial" w:cs="Arial"/>
          <w:lang w:val="fr-CA"/>
        </w:rPr>
        <w:t>La chaudière doit porter la marque « H » de l’ASME pour une pression nominale de 160 psi</w:t>
      </w:r>
      <w:r w:rsidR="00F37F91" w:rsidRPr="007E1BF2">
        <w:rPr>
          <w:rFonts w:ascii="Arial" w:hAnsi="Arial" w:cs="Arial"/>
          <w:lang w:val="fr-CA"/>
        </w:rPr>
        <w:t xml:space="preserve"> et doit être homologuée par le National Board.</w:t>
      </w:r>
    </w:p>
    <w:p w14:paraId="0DAEEFB0" w14:textId="2506816C" w:rsidR="00F37F91" w:rsidRPr="007E1BF2" w:rsidRDefault="00F37F91" w:rsidP="00E63176">
      <w:pPr>
        <w:pStyle w:val="Paragraphedeliste"/>
        <w:numPr>
          <w:ilvl w:val="1"/>
          <w:numId w:val="1"/>
        </w:numPr>
        <w:tabs>
          <w:tab w:val="left" w:pos="450"/>
        </w:tabs>
        <w:rPr>
          <w:rFonts w:ascii="Arial" w:hAnsi="Arial" w:cs="Arial"/>
          <w:lang w:val="fr-CA"/>
        </w:rPr>
      </w:pPr>
      <w:r w:rsidRPr="007E1BF2">
        <w:rPr>
          <w:rFonts w:ascii="Arial" w:hAnsi="Arial" w:cs="Arial"/>
          <w:lang w:val="fr-CA"/>
        </w:rPr>
        <w:t xml:space="preserve">Le rendement thermique de la chaudière doit être vérifié par la Hydronics Institute de l’AHRI et publié </w:t>
      </w:r>
      <w:r w:rsidR="00C72DD5" w:rsidRPr="007E1BF2">
        <w:rPr>
          <w:rFonts w:ascii="Arial" w:hAnsi="Arial" w:cs="Arial"/>
          <w:lang w:val="fr-CA"/>
        </w:rPr>
        <w:t>dans</w:t>
      </w:r>
      <w:r w:rsidRPr="007E1BF2">
        <w:rPr>
          <w:rFonts w:ascii="Arial" w:hAnsi="Arial" w:cs="Arial"/>
          <w:lang w:val="fr-CA"/>
        </w:rPr>
        <w:t xml:space="preserve"> le répertoire des certifications de l’AHRI. </w:t>
      </w:r>
    </w:p>
    <w:p w14:paraId="7F8D8358" w14:textId="54599B33" w:rsidR="00C72DD5" w:rsidRPr="007E1BF2" w:rsidRDefault="00C72DD5" w:rsidP="00E63176">
      <w:pPr>
        <w:pStyle w:val="Paragraphedeliste"/>
        <w:numPr>
          <w:ilvl w:val="1"/>
          <w:numId w:val="1"/>
        </w:numPr>
        <w:tabs>
          <w:tab w:val="left" w:pos="450"/>
        </w:tabs>
        <w:rPr>
          <w:rFonts w:ascii="Arial" w:hAnsi="Arial" w:cs="Arial"/>
          <w:lang w:val="fr-CA"/>
        </w:rPr>
      </w:pPr>
      <w:r w:rsidRPr="007E1BF2">
        <w:rPr>
          <w:rFonts w:ascii="Arial" w:hAnsi="Arial" w:cs="Arial"/>
          <w:lang w:val="fr-CA"/>
        </w:rPr>
        <w:t>La chaudière doit être certifiée conforme aux exigences de faibles émissions d’oxydes d’azote, soit moins de 14 ng/j ou 20 ppm à 3 % d’O</w:t>
      </w:r>
      <w:r w:rsidRPr="007E1BF2">
        <w:rPr>
          <w:rFonts w:ascii="Arial" w:hAnsi="Arial" w:cs="Arial"/>
          <w:vertAlign w:val="subscript"/>
          <w:lang w:val="fr-CA"/>
        </w:rPr>
        <w:t>2</w:t>
      </w:r>
      <w:r w:rsidRPr="007E1BF2">
        <w:rPr>
          <w:rFonts w:ascii="Arial" w:hAnsi="Arial" w:cs="Arial"/>
          <w:lang w:val="fr-CA"/>
        </w:rPr>
        <w:t>, et doit être homologuée au sein du répertoire du South Coast Air Quality Management District.</w:t>
      </w:r>
    </w:p>
    <w:p w14:paraId="6225CB33" w14:textId="2B553FD5" w:rsidR="00C72DD5" w:rsidRPr="007E1BF2" w:rsidRDefault="00C72DD5" w:rsidP="00E63176">
      <w:pPr>
        <w:pStyle w:val="Paragraphedeliste"/>
        <w:numPr>
          <w:ilvl w:val="1"/>
          <w:numId w:val="1"/>
        </w:numPr>
        <w:tabs>
          <w:tab w:val="left" w:pos="450"/>
        </w:tabs>
        <w:rPr>
          <w:rFonts w:ascii="Arial" w:hAnsi="Arial" w:cs="Arial"/>
          <w:lang w:val="fr-CA"/>
        </w:rPr>
      </w:pPr>
      <w:r w:rsidRPr="007E1BF2">
        <w:rPr>
          <w:rFonts w:ascii="Arial" w:hAnsi="Arial" w:cs="Arial"/>
          <w:lang w:val="fr-CA"/>
        </w:rPr>
        <w:t>La chaudière doit être entièrement emballée à l’usine en conformité avec la norme ASME CSD-1.</w:t>
      </w:r>
    </w:p>
    <w:p w14:paraId="007E8B26" w14:textId="0B1B091C" w:rsidR="00C72DD5" w:rsidRPr="007E1BF2" w:rsidRDefault="00C72DD5" w:rsidP="00E63176">
      <w:pPr>
        <w:pStyle w:val="Paragraphedeliste"/>
        <w:numPr>
          <w:ilvl w:val="1"/>
          <w:numId w:val="1"/>
        </w:numPr>
        <w:tabs>
          <w:tab w:val="left" w:pos="450"/>
        </w:tabs>
        <w:rPr>
          <w:rFonts w:ascii="Arial" w:hAnsi="Arial" w:cs="Arial"/>
          <w:lang w:val="fr-CA"/>
        </w:rPr>
      </w:pPr>
      <w:r w:rsidRPr="007E1BF2">
        <w:rPr>
          <w:rFonts w:ascii="Arial" w:hAnsi="Arial" w:cs="Arial"/>
          <w:lang w:val="fr-CA"/>
        </w:rPr>
        <w:t>Les commandes de la chaudière doivent être certifiées par le groupe CSA, le laboratoire des assureurs (UL) ou une agence équivalente.</w:t>
      </w:r>
    </w:p>
    <w:p w14:paraId="0EF27D39" w14:textId="73501A5D" w:rsidR="00C23386" w:rsidRPr="007E1BF2" w:rsidRDefault="00C72DD5" w:rsidP="00C23386">
      <w:pPr>
        <w:pStyle w:val="Paragraphedeliste"/>
        <w:numPr>
          <w:ilvl w:val="1"/>
          <w:numId w:val="1"/>
        </w:numPr>
        <w:tabs>
          <w:tab w:val="left" w:pos="450"/>
        </w:tabs>
        <w:rPr>
          <w:rFonts w:ascii="Arial" w:hAnsi="Arial" w:cs="Arial"/>
          <w:lang w:val="fr-CA"/>
        </w:rPr>
      </w:pPr>
      <w:r w:rsidRPr="007E1BF2">
        <w:rPr>
          <w:rFonts w:ascii="Arial" w:hAnsi="Arial" w:cs="Arial"/>
          <w:lang w:val="fr-CA"/>
        </w:rPr>
        <w:t>Tous les composants électriques doivent être certifiés par le groupe CSA, le laboratoire des assureurs (UL) ou une agence équivalente.</w:t>
      </w:r>
    </w:p>
    <w:p w14:paraId="6310644F" w14:textId="4C1E26E0" w:rsidR="00C72DD5" w:rsidRPr="007E1BF2" w:rsidRDefault="00C72DD5" w:rsidP="00C72DD5">
      <w:pPr>
        <w:pStyle w:val="Paragraphedeliste"/>
        <w:tabs>
          <w:tab w:val="left" w:pos="450"/>
        </w:tabs>
        <w:ind w:left="1440"/>
        <w:rPr>
          <w:rFonts w:ascii="Arial" w:hAnsi="Arial" w:cs="Arial"/>
          <w:lang w:val="fr-CA"/>
        </w:rPr>
      </w:pPr>
    </w:p>
    <w:p w14:paraId="3BC62D14" w14:textId="77777777" w:rsidR="00C72DD5" w:rsidRPr="007E1BF2" w:rsidRDefault="00C72DD5" w:rsidP="00C72DD5">
      <w:pPr>
        <w:pStyle w:val="Paragraphedeliste"/>
        <w:tabs>
          <w:tab w:val="left" w:pos="450"/>
        </w:tabs>
        <w:ind w:left="1440"/>
        <w:rPr>
          <w:rFonts w:ascii="Arial" w:hAnsi="Arial" w:cs="Arial"/>
          <w:lang w:val="fr-CA"/>
        </w:rPr>
      </w:pPr>
    </w:p>
    <w:p w14:paraId="07BA9DAC" w14:textId="6F2FE3A9" w:rsidR="002A4D4B" w:rsidRPr="007E1BF2" w:rsidRDefault="00C72DD5" w:rsidP="002A4D4B">
      <w:pPr>
        <w:pStyle w:val="Paragraphedeliste"/>
        <w:numPr>
          <w:ilvl w:val="0"/>
          <w:numId w:val="1"/>
        </w:numPr>
        <w:tabs>
          <w:tab w:val="left" w:pos="450"/>
        </w:tabs>
        <w:ind w:hanging="720"/>
        <w:rPr>
          <w:rFonts w:ascii="Arial" w:hAnsi="Arial" w:cs="Arial"/>
          <w:b/>
          <w:lang w:val="fr-CA"/>
        </w:rPr>
      </w:pPr>
      <w:r w:rsidRPr="007E1BF2">
        <w:rPr>
          <w:rFonts w:ascii="Arial" w:hAnsi="Arial" w:cs="Arial"/>
          <w:b/>
          <w:lang w:val="fr-CA"/>
        </w:rPr>
        <w:t>Conception du produit</w:t>
      </w:r>
    </w:p>
    <w:p w14:paraId="1D3F782C" w14:textId="77777777" w:rsidR="00746FA8" w:rsidRPr="007E1BF2" w:rsidRDefault="00746FA8" w:rsidP="00746FA8">
      <w:pPr>
        <w:pStyle w:val="Paragraphedeliste"/>
        <w:tabs>
          <w:tab w:val="left" w:pos="450"/>
        </w:tabs>
        <w:ind w:left="1440"/>
        <w:rPr>
          <w:rFonts w:ascii="Arial" w:hAnsi="Arial" w:cs="Arial"/>
          <w:lang w:val="fr-CA"/>
        </w:rPr>
      </w:pPr>
    </w:p>
    <w:p w14:paraId="26F1FBAA" w14:textId="5171833A" w:rsidR="00843790" w:rsidRPr="007E1BF2" w:rsidRDefault="00C72DD5" w:rsidP="00843790">
      <w:pPr>
        <w:pStyle w:val="Paragraphedeliste"/>
        <w:numPr>
          <w:ilvl w:val="1"/>
          <w:numId w:val="1"/>
        </w:numPr>
        <w:tabs>
          <w:tab w:val="left" w:pos="450"/>
        </w:tabs>
        <w:rPr>
          <w:rFonts w:ascii="Arial" w:hAnsi="Arial" w:cs="Arial"/>
          <w:lang w:val="fr-CA"/>
        </w:rPr>
      </w:pPr>
      <w:r w:rsidRPr="007E1BF2">
        <w:rPr>
          <w:rFonts w:ascii="Arial" w:hAnsi="Arial" w:cs="Arial"/>
          <w:lang w:val="fr-CA"/>
        </w:rPr>
        <w:t>Enceinte</w:t>
      </w:r>
    </w:p>
    <w:p w14:paraId="33E60F26" w14:textId="0B34ADDA" w:rsidR="00C72DD5" w:rsidRPr="007E1BF2" w:rsidRDefault="00C72DD5" w:rsidP="00843790">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L’enceinte doit être </w:t>
      </w:r>
      <w:r w:rsidR="00A2551B" w:rsidRPr="007E1BF2">
        <w:rPr>
          <w:rFonts w:ascii="Arial" w:hAnsi="Arial" w:cs="Arial"/>
          <w:lang w:val="fr-CA"/>
        </w:rPr>
        <w:t>fabriqué</w:t>
      </w:r>
      <w:r w:rsidR="008021EE">
        <w:rPr>
          <w:rFonts w:ascii="Arial" w:hAnsi="Arial" w:cs="Arial"/>
          <w:lang w:val="fr-CA"/>
        </w:rPr>
        <w:t>e</w:t>
      </w:r>
      <w:r w:rsidR="00A2551B" w:rsidRPr="007E1BF2">
        <w:rPr>
          <w:rFonts w:ascii="Arial" w:hAnsi="Arial" w:cs="Arial"/>
          <w:lang w:val="fr-CA"/>
        </w:rPr>
        <w:t xml:space="preserve"> à partir</w:t>
      </w:r>
      <w:r w:rsidRPr="007E1BF2">
        <w:rPr>
          <w:rFonts w:ascii="Arial" w:hAnsi="Arial" w:cs="Arial"/>
          <w:lang w:val="fr-CA"/>
        </w:rPr>
        <w:t xml:space="preserve"> d’acier au carbone laminé à froid et doit être apprêtée et peinturée </w:t>
      </w:r>
      <w:r w:rsidR="00A2551B" w:rsidRPr="007E1BF2">
        <w:rPr>
          <w:rFonts w:ascii="Arial" w:hAnsi="Arial" w:cs="Arial"/>
          <w:lang w:val="fr-CA"/>
        </w:rPr>
        <w:t>sur les deux côtés.</w:t>
      </w:r>
    </w:p>
    <w:p w14:paraId="0E37A281" w14:textId="536EE5BC" w:rsidR="00A2551B" w:rsidRPr="007E1BF2" w:rsidRDefault="00A2551B" w:rsidP="00843790">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Les dimensions maximales de la chaudière doivent être de 63,8 cm (largeur) x 56,6 cm (profondeur) x 83,3 cm (hauteur) (25,1 po x 22,3 po </w:t>
      </w:r>
      <w:r w:rsidRPr="007E1BF2">
        <w:rPr>
          <w:rFonts w:ascii="Arial" w:hAnsi="Arial" w:cs="Arial"/>
          <w:lang w:val="fr-CA"/>
        </w:rPr>
        <w:br/>
        <w:t>x 32,8 po).</w:t>
      </w:r>
    </w:p>
    <w:p w14:paraId="68284381" w14:textId="73AD30E9" w:rsidR="00A2551B" w:rsidRPr="007E1BF2" w:rsidRDefault="00A2551B" w:rsidP="00843790">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Le poids maximal de la chaudière (poids à sec) doit être de 110 kg </w:t>
      </w:r>
      <w:r w:rsidRPr="007E1BF2">
        <w:rPr>
          <w:rFonts w:ascii="Arial" w:hAnsi="Arial" w:cs="Arial"/>
          <w:lang w:val="fr-CA"/>
        </w:rPr>
        <w:br/>
        <w:t xml:space="preserve">(243 lb) pour le modèle NFB-301C et de 126 kg (278 lb) pour le </w:t>
      </w:r>
      <w:r w:rsidRPr="007E1BF2">
        <w:rPr>
          <w:rFonts w:ascii="Arial" w:hAnsi="Arial" w:cs="Arial"/>
          <w:lang w:val="fr-CA"/>
        </w:rPr>
        <w:br/>
        <w:t>modèle NFB-399C.</w:t>
      </w:r>
    </w:p>
    <w:p w14:paraId="55033838" w14:textId="77777777" w:rsidR="00B137B8" w:rsidRPr="007E1BF2" w:rsidRDefault="00B137B8" w:rsidP="00B137B8">
      <w:pPr>
        <w:pStyle w:val="Sansinterligne"/>
        <w:rPr>
          <w:lang w:val="fr-CA"/>
        </w:rPr>
      </w:pPr>
    </w:p>
    <w:p w14:paraId="3D29AFA6" w14:textId="11DD5723" w:rsidR="00A2551B" w:rsidRPr="007E1BF2" w:rsidRDefault="00A2551B" w:rsidP="00F43F43">
      <w:pPr>
        <w:pStyle w:val="Paragraphedeliste"/>
        <w:numPr>
          <w:ilvl w:val="1"/>
          <w:numId w:val="1"/>
        </w:numPr>
        <w:tabs>
          <w:tab w:val="left" w:pos="450"/>
        </w:tabs>
        <w:rPr>
          <w:rFonts w:ascii="Arial" w:hAnsi="Arial" w:cs="Arial"/>
          <w:lang w:val="fr-CA"/>
        </w:rPr>
      </w:pPr>
      <w:r w:rsidRPr="007E1BF2">
        <w:rPr>
          <w:rFonts w:ascii="Arial" w:hAnsi="Arial" w:cs="Arial"/>
          <w:lang w:val="fr-CA"/>
        </w:rPr>
        <w:t>Échangeur de chaleur et pièces de combustion</w:t>
      </w:r>
    </w:p>
    <w:p w14:paraId="4A5FDCA0" w14:textId="1B238B80" w:rsidR="00A2551B" w:rsidRPr="007E1BF2" w:rsidRDefault="00A2551B" w:rsidP="0085155E">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L’échangeur de chaleur doit être fabriqué à partir d’acier inoxydable de qualité supérieure et de </w:t>
      </w:r>
      <w:r w:rsidR="007C091C" w:rsidRPr="007E1BF2">
        <w:rPr>
          <w:rFonts w:ascii="Arial" w:hAnsi="Arial" w:cs="Arial"/>
          <w:lang w:val="fr-CA"/>
        </w:rPr>
        <w:t>type</w:t>
      </w:r>
      <w:r w:rsidRPr="007E1BF2">
        <w:rPr>
          <w:rFonts w:ascii="Arial" w:hAnsi="Arial" w:cs="Arial"/>
          <w:lang w:val="fr-CA"/>
        </w:rPr>
        <w:t xml:space="preserve"> ignitubulaire avec extrémités supérieures et inférieures pressées et non soudées. La base de collecte des condensats doit être fabriquée à partir de matériaux non métalliques.</w:t>
      </w:r>
    </w:p>
    <w:p w14:paraId="1BF3EA0D" w14:textId="4787A89E" w:rsidR="00A2551B" w:rsidRPr="007E1BF2" w:rsidRDefault="00A2551B" w:rsidP="0085155E">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L’échangeur de chaleur doit être conçu pour pouvoir fonctionner </w:t>
      </w:r>
      <w:r w:rsidR="007C091C" w:rsidRPr="007E1BF2">
        <w:rPr>
          <w:rFonts w:ascii="Arial" w:hAnsi="Arial" w:cs="Arial"/>
          <w:lang w:val="fr-CA"/>
        </w:rPr>
        <w:t xml:space="preserve">avec </w:t>
      </w:r>
      <w:r w:rsidR="00901E05">
        <w:rPr>
          <w:rFonts w:ascii="Arial" w:hAnsi="Arial" w:cs="Arial"/>
          <w:lang w:val="fr-CA"/>
        </w:rPr>
        <w:t>un</w:t>
      </w:r>
      <w:r w:rsidR="007C091C" w:rsidRPr="007E1BF2">
        <w:rPr>
          <w:rFonts w:ascii="Arial" w:hAnsi="Arial" w:cs="Arial"/>
          <w:lang w:val="fr-CA"/>
        </w:rPr>
        <w:t xml:space="preserve"> mélange de 50 % propylène glycol sans perte de rendement </w:t>
      </w:r>
      <w:r w:rsidR="00901E05">
        <w:rPr>
          <w:rFonts w:ascii="Arial" w:hAnsi="Arial" w:cs="Arial"/>
          <w:lang w:val="fr-CA"/>
        </w:rPr>
        <w:t>notable</w:t>
      </w:r>
      <w:r w:rsidR="007C091C" w:rsidRPr="007E1BF2">
        <w:rPr>
          <w:rFonts w:ascii="Arial" w:hAnsi="Arial" w:cs="Arial"/>
          <w:lang w:val="fr-CA"/>
        </w:rPr>
        <w:t>.</w:t>
      </w:r>
    </w:p>
    <w:p w14:paraId="28B66B79" w14:textId="21383EAE" w:rsidR="007C091C" w:rsidRPr="007E1BF2" w:rsidRDefault="007C091C" w:rsidP="00D01A55">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Le brûleur doit être de type brûleur à prémélange et fabriqué à partir d’acier inoxydable et d’une toile en fibre métallique tissé afin de procurer une large étendue de taux d’allumage modulants. Un orifice permettant </w:t>
      </w:r>
      <w:r w:rsidRPr="007E1BF2">
        <w:rPr>
          <w:rFonts w:ascii="Arial" w:hAnsi="Arial" w:cs="Arial"/>
          <w:lang w:val="fr-CA"/>
        </w:rPr>
        <w:lastRenderedPageBreak/>
        <w:t>de surveiller le brûleur et la flamme doit être inclus pour l’inspection visuelle de la chaudière en cours de fonctionnement. La flamme du brûleur doit être allumée directement par étincelle et surveillée par un détecteur de flamme.</w:t>
      </w:r>
    </w:p>
    <w:p w14:paraId="2E662E3B" w14:textId="38CA9E8F" w:rsidR="007C091C" w:rsidRPr="007E1BF2" w:rsidRDefault="007C091C" w:rsidP="00D01A55">
      <w:pPr>
        <w:pStyle w:val="Paragraphedeliste"/>
        <w:numPr>
          <w:ilvl w:val="2"/>
          <w:numId w:val="1"/>
        </w:numPr>
        <w:tabs>
          <w:tab w:val="left" w:pos="450"/>
        </w:tabs>
        <w:rPr>
          <w:rFonts w:ascii="Arial" w:hAnsi="Arial" w:cs="Arial"/>
          <w:lang w:val="fr-CA"/>
        </w:rPr>
      </w:pPr>
      <w:r w:rsidRPr="007E1BF2">
        <w:rPr>
          <w:rFonts w:ascii="Arial" w:hAnsi="Arial" w:cs="Arial"/>
          <w:lang w:val="fr-CA"/>
        </w:rPr>
        <w:t>La soupape de dépression</w:t>
      </w:r>
      <w:r w:rsidR="00F36FAF" w:rsidRPr="007E1BF2">
        <w:rPr>
          <w:rFonts w:ascii="Arial" w:hAnsi="Arial" w:cs="Arial"/>
          <w:lang w:val="fr-CA"/>
        </w:rPr>
        <w:t xml:space="preserve"> doit utiliser l’effet Venturi du ventilateur pour aspirer le gaz à travers la soupape en maintenant un rapport adéquat avec l’air entrant.</w:t>
      </w:r>
    </w:p>
    <w:p w14:paraId="7E5DFA10" w14:textId="19C59084" w:rsidR="00D21451" w:rsidRPr="007E1BF2" w:rsidRDefault="00F36FAF" w:rsidP="00D21451">
      <w:pPr>
        <w:pStyle w:val="Paragraphedeliste"/>
        <w:numPr>
          <w:ilvl w:val="2"/>
          <w:numId w:val="1"/>
        </w:numPr>
        <w:rPr>
          <w:rFonts w:ascii="Arial" w:hAnsi="Arial" w:cs="Arial"/>
          <w:lang w:val="fr-CA"/>
        </w:rPr>
      </w:pPr>
      <w:r w:rsidRPr="007E1BF2">
        <w:rPr>
          <w:rFonts w:ascii="Arial" w:hAnsi="Arial" w:cs="Arial"/>
          <w:lang w:val="fr-CA"/>
        </w:rPr>
        <w:t xml:space="preserve">La chaudière doit être munie d’un ventilateur à vitesse variable capable de moduler le taux d’allumage de 100 % à 6,6 % et de fonctionner sans problème dans toutes les conditions admissibles. </w:t>
      </w:r>
    </w:p>
    <w:p w14:paraId="764F21C2" w14:textId="77777777" w:rsidR="00443BDF" w:rsidRPr="007E1BF2" w:rsidRDefault="00443BDF" w:rsidP="00D21451">
      <w:pPr>
        <w:rPr>
          <w:lang w:val="fr-CA"/>
        </w:rPr>
      </w:pPr>
    </w:p>
    <w:p w14:paraId="5536D50F" w14:textId="327648C8" w:rsidR="0097178B" w:rsidRPr="007E1BF2" w:rsidRDefault="0097178B" w:rsidP="00746FA8">
      <w:pPr>
        <w:pStyle w:val="Paragraphedeliste"/>
        <w:numPr>
          <w:ilvl w:val="1"/>
          <w:numId w:val="1"/>
        </w:numPr>
        <w:tabs>
          <w:tab w:val="left" w:pos="450"/>
        </w:tabs>
        <w:rPr>
          <w:rFonts w:ascii="Arial" w:hAnsi="Arial" w:cs="Arial"/>
          <w:lang w:val="fr-CA"/>
        </w:rPr>
      </w:pPr>
      <w:r w:rsidRPr="007E1BF2">
        <w:rPr>
          <w:rFonts w:ascii="Arial" w:hAnsi="Arial" w:cs="Arial"/>
          <w:lang w:val="fr-CA"/>
        </w:rPr>
        <w:t>Ventilation et configurations de l’air de combustion</w:t>
      </w:r>
    </w:p>
    <w:p w14:paraId="1B0DE298" w14:textId="3805C678" w:rsidR="0097178B" w:rsidRPr="007E1BF2" w:rsidRDefault="00E25942" w:rsidP="0062285E">
      <w:pPr>
        <w:pStyle w:val="Paragraphedeliste"/>
        <w:numPr>
          <w:ilvl w:val="2"/>
          <w:numId w:val="1"/>
        </w:numPr>
        <w:tabs>
          <w:tab w:val="left" w:pos="450"/>
        </w:tabs>
        <w:rPr>
          <w:rFonts w:ascii="Arial" w:hAnsi="Arial" w:cs="Arial"/>
          <w:lang w:val="fr-CA"/>
        </w:rPr>
      </w:pPr>
      <w:r w:rsidRPr="007E1BF2">
        <w:rPr>
          <w:rFonts w:ascii="Arial" w:hAnsi="Arial" w:cs="Arial"/>
          <w:lang w:val="fr-CA"/>
        </w:rPr>
        <w:t>La chaudière doit être conçue pour utiliser l’air extérieur (système à ventilation directe) ou l’air intérieur (système à ventilation indirecte avec tuyau unique) comme air de combustion. L’entrée et la sortie du système d</w:t>
      </w:r>
      <w:r w:rsidR="00423F32" w:rsidRPr="007E1BF2">
        <w:rPr>
          <w:rFonts w:ascii="Arial" w:hAnsi="Arial" w:cs="Arial"/>
          <w:lang w:val="fr-CA"/>
        </w:rPr>
        <w:t>e ventilation doivent</w:t>
      </w:r>
      <w:r w:rsidRPr="007E1BF2">
        <w:rPr>
          <w:rFonts w:ascii="Arial" w:hAnsi="Arial" w:cs="Arial"/>
          <w:lang w:val="fr-CA"/>
        </w:rPr>
        <w:t xml:space="preserve"> être </w:t>
      </w:r>
      <w:r w:rsidR="00423F32" w:rsidRPr="007E1BF2">
        <w:rPr>
          <w:rFonts w:ascii="Arial" w:hAnsi="Arial" w:cs="Arial"/>
          <w:lang w:val="fr-CA"/>
        </w:rPr>
        <w:t>raccordé</w:t>
      </w:r>
      <w:r w:rsidR="008021EE">
        <w:rPr>
          <w:rFonts w:ascii="Arial" w:hAnsi="Arial" w:cs="Arial"/>
          <w:lang w:val="fr-CA"/>
        </w:rPr>
        <w:t>e</w:t>
      </w:r>
      <w:r w:rsidR="00423F32" w:rsidRPr="007E1BF2">
        <w:rPr>
          <w:rFonts w:ascii="Arial" w:hAnsi="Arial" w:cs="Arial"/>
          <w:lang w:val="fr-CA"/>
        </w:rPr>
        <w:t>s</w:t>
      </w:r>
      <w:r w:rsidRPr="007E1BF2">
        <w:rPr>
          <w:rFonts w:ascii="Arial" w:hAnsi="Arial" w:cs="Arial"/>
          <w:lang w:val="fr-CA"/>
        </w:rPr>
        <w:t xml:space="preserve"> </w:t>
      </w:r>
      <w:r w:rsidR="00423F32" w:rsidRPr="007E1BF2">
        <w:rPr>
          <w:rFonts w:ascii="Arial" w:hAnsi="Arial" w:cs="Arial"/>
          <w:lang w:val="fr-CA"/>
        </w:rPr>
        <w:t>à des connexions de sortie à travers le toit ou sur le mur latéral et doivent être testé</w:t>
      </w:r>
      <w:r w:rsidR="008021EE">
        <w:rPr>
          <w:rFonts w:ascii="Arial" w:hAnsi="Arial" w:cs="Arial"/>
          <w:lang w:val="fr-CA"/>
        </w:rPr>
        <w:t>e</w:t>
      </w:r>
      <w:r w:rsidR="00423F32" w:rsidRPr="007E1BF2">
        <w:rPr>
          <w:rFonts w:ascii="Arial" w:hAnsi="Arial" w:cs="Arial"/>
          <w:lang w:val="fr-CA"/>
        </w:rPr>
        <w:t>s pour détecter les emplacements mal équilibrés (zones de pression différentes).</w:t>
      </w:r>
    </w:p>
    <w:p w14:paraId="000D01F7" w14:textId="0CA66400" w:rsidR="00423F32" w:rsidRPr="007E1BF2" w:rsidRDefault="00423F32" w:rsidP="0062285E">
      <w:pPr>
        <w:pStyle w:val="Paragraphedeliste"/>
        <w:numPr>
          <w:ilvl w:val="2"/>
          <w:numId w:val="1"/>
        </w:numPr>
        <w:tabs>
          <w:tab w:val="left" w:pos="450"/>
        </w:tabs>
        <w:rPr>
          <w:rFonts w:ascii="Arial" w:hAnsi="Arial" w:cs="Arial"/>
          <w:lang w:val="fr-CA"/>
        </w:rPr>
      </w:pPr>
      <w:r w:rsidRPr="007E1BF2">
        <w:rPr>
          <w:rFonts w:ascii="Arial" w:hAnsi="Arial" w:cs="Arial"/>
          <w:lang w:val="fr-CA"/>
        </w:rPr>
        <w:t>Les matériaux acceptables pour les conduits d’entrée d’air sont l’ABS, le PVC, le PVC-C, le PP, l’acier inoxydable, l’acier galvanisé et l’aluminium ondulé. La longueur équivalente totale des conduits d’évent ne doit pas dépasser 18,3 m (60 pi) pour les tuyaux de 7,6 cm (3 po) et jusqu’à 45,7 m (150 pi) pour les tuyaux de 10,2 cm (4 po).</w:t>
      </w:r>
    </w:p>
    <w:p w14:paraId="336C5834" w14:textId="2C28FB8A" w:rsidR="00423F32" w:rsidRPr="007E1BF2" w:rsidRDefault="00423F32" w:rsidP="002133EA">
      <w:pPr>
        <w:pStyle w:val="Paragraphedeliste"/>
        <w:numPr>
          <w:ilvl w:val="2"/>
          <w:numId w:val="1"/>
        </w:numPr>
        <w:tabs>
          <w:tab w:val="left" w:pos="450"/>
        </w:tabs>
        <w:rPr>
          <w:rFonts w:ascii="Arial" w:hAnsi="Arial" w:cs="Arial"/>
          <w:lang w:val="fr-CA"/>
        </w:rPr>
      </w:pPr>
      <w:r w:rsidRPr="007E1BF2">
        <w:rPr>
          <w:rFonts w:ascii="Arial" w:hAnsi="Arial" w:cs="Arial"/>
          <w:lang w:val="fr-CA"/>
        </w:rPr>
        <w:t>Les conduits d’évacuation (gaz de combustion) doivent être en PVC de nomenclature 40 (</w:t>
      </w:r>
      <w:r w:rsidR="00C73356" w:rsidRPr="007E1BF2">
        <w:rPr>
          <w:rFonts w:ascii="Arial" w:hAnsi="Arial" w:cs="Arial"/>
          <w:lang w:val="fr-CA"/>
        </w:rPr>
        <w:t>corps solide), en PVC-C de nomenclature 40 ou 80 (corps solide), en acier inoxydable ou en polypropylène approuvé, selon les directives fournies dans le manuel d’installation. La longueur équivalente totale des conduits d’évent ne doit pas dépasser 18,3 m (60 pi) pour les tuyaux de 7,6 cm (3 po) et jusqu’à 45,7 m (150 pi) pour les tuyaux de 10,2 cm (4 po).</w:t>
      </w:r>
    </w:p>
    <w:p w14:paraId="3E5F90AE" w14:textId="712FF7EC" w:rsidR="009A6BF6" w:rsidRPr="007E1BF2" w:rsidRDefault="00C73356" w:rsidP="00B137B8">
      <w:pPr>
        <w:pStyle w:val="Paragraphedeliste"/>
        <w:numPr>
          <w:ilvl w:val="2"/>
          <w:numId w:val="1"/>
        </w:numPr>
        <w:tabs>
          <w:tab w:val="left" w:pos="450"/>
        </w:tabs>
        <w:rPr>
          <w:rFonts w:ascii="Arial" w:hAnsi="Arial" w:cs="Arial"/>
          <w:lang w:val="fr-CA"/>
        </w:rPr>
      </w:pPr>
      <w:r w:rsidRPr="007E1BF2">
        <w:rPr>
          <w:rFonts w:ascii="Arial" w:hAnsi="Arial" w:cs="Arial"/>
          <w:lang w:val="fr-CA"/>
        </w:rPr>
        <w:t>Les évents partagés utilisés pour l’évacuation des gaz de combustion doivent être composés de matériaux approuvés de catégorie IV. Il est possible de connecter jusqu’à quatre (4) chaudières à un même évent partagé en utilisant l</w:t>
      </w:r>
      <w:r w:rsidRPr="008A6160">
        <w:rPr>
          <w:lang w:val="fr-CA"/>
        </w:rPr>
        <w:t>’</w:t>
      </w:r>
      <w:r w:rsidRPr="007E1BF2">
        <w:rPr>
          <w:rFonts w:ascii="Arial" w:hAnsi="Arial" w:cs="Arial"/>
          <w:lang w:val="fr-CA"/>
        </w:rPr>
        <w:t>ensemble pour collet d’évent partagé avec volet antiretour. Toutes les chaudières doivent être de même dimension et de même type.</w:t>
      </w:r>
    </w:p>
    <w:p w14:paraId="584716D6" w14:textId="77777777" w:rsidR="00C73356" w:rsidRPr="007E1BF2" w:rsidRDefault="00C73356" w:rsidP="00C73356">
      <w:pPr>
        <w:pStyle w:val="Paragraphedeliste"/>
        <w:tabs>
          <w:tab w:val="left" w:pos="450"/>
        </w:tabs>
        <w:ind w:left="2160"/>
        <w:rPr>
          <w:rFonts w:ascii="Arial" w:hAnsi="Arial" w:cs="Arial"/>
          <w:lang w:val="fr-CA"/>
        </w:rPr>
      </w:pPr>
    </w:p>
    <w:p w14:paraId="733E2F2F" w14:textId="0C020F1B" w:rsidR="00154B6E" w:rsidRPr="007E1BF2" w:rsidRDefault="00C73356" w:rsidP="00154B6E">
      <w:pPr>
        <w:pStyle w:val="Paragraphedeliste"/>
        <w:numPr>
          <w:ilvl w:val="1"/>
          <w:numId w:val="1"/>
        </w:numPr>
        <w:tabs>
          <w:tab w:val="left" w:pos="450"/>
        </w:tabs>
        <w:rPr>
          <w:rFonts w:ascii="Arial" w:hAnsi="Arial" w:cs="Arial"/>
          <w:lang w:val="fr-CA"/>
        </w:rPr>
      </w:pPr>
      <w:r w:rsidRPr="007E1BF2">
        <w:rPr>
          <w:rFonts w:ascii="Arial" w:hAnsi="Arial" w:cs="Arial"/>
          <w:lang w:val="fr-CA"/>
        </w:rPr>
        <w:t xml:space="preserve">Raccords </w:t>
      </w:r>
      <w:r w:rsidR="006E7CEC" w:rsidRPr="007E1BF2">
        <w:rPr>
          <w:rFonts w:ascii="Arial" w:hAnsi="Arial" w:cs="Arial"/>
          <w:lang w:val="fr-CA"/>
        </w:rPr>
        <w:t>d’</w:t>
      </w:r>
      <w:r w:rsidRPr="007E1BF2">
        <w:rPr>
          <w:rFonts w:ascii="Arial" w:hAnsi="Arial" w:cs="Arial"/>
          <w:lang w:val="fr-CA"/>
        </w:rPr>
        <w:t>eau</w:t>
      </w:r>
    </w:p>
    <w:p w14:paraId="6F84D9E6" w14:textId="2551152E" w:rsidR="00C73356" w:rsidRPr="007E1BF2" w:rsidRDefault="00C73356" w:rsidP="009A6BF6">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La chaudière doit être utilisée dans un réseau pressurisé en boucle fermée et exige la présence d’un réservoir de dilatation thermique de dimension adéquate et conforme aux exigences des codes locaux.  </w:t>
      </w:r>
    </w:p>
    <w:p w14:paraId="44BB51EC" w14:textId="7719CCC8" w:rsidR="00C73356" w:rsidRPr="007E1BF2" w:rsidRDefault="00C73356" w:rsidP="009A6BF6">
      <w:pPr>
        <w:pStyle w:val="Paragraphedeliste"/>
        <w:numPr>
          <w:ilvl w:val="2"/>
          <w:numId w:val="1"/>
        </w:numPr>
        <w:tabs>
          <w:tab w:val="left" w:pos="450"/>
        </w:tabs>
        <w:rPr>
          <w:rFonts w:ascii="Arial" w:hAnsi="Arial" w:cs="Arial"/>
          <w:lang w:val="fr-CA"/>
        </w:rPr>
      </w:pPr>
      <w:r w:rsidRPr="007E1BF2">
        <w:rPr>
          <w:rFonts w:ascii="Arial" w:hAnsi="Arial" w:cs="Arial"/>
          <w:lang w:val="fr-CA"/>
        </w:rPr>
        <w:t>La chaudière doit être munie de raccords d’alimentation et de retour sur le haut et sur le bas.</w:t>
      </w:r>
    </w:p>
    <w:p w14:paraId="33D217EF" w14:textId="02F033EF" w:rsidR="006E7CEC" w:rsidRPr="007E1BF2" w:rsidRDefault="006E7CEC" w:rsidP="009A6BF6">
      <w:pPr>
        <w:pStyle w:val="Paragraphedeliste"/>
        <w:numPr>
          <w:ilvl w:val="2"/>
          <w:numId w:val="1"/>
        </w:numPr>
        <w:tabs>
          <w:tab w:val="left" w:pos="450"/>
        </w:tabs>
        <w:rPr>
          <w:rFonts w:ascii="Arial" w:hAnsi="Arial" w:cs="Arial"/>
          <w:lang w:val="fr-CA"/>
        </w:rPr>
      </w:pPr>
      <w:r w:rsidRPr="007E1BF2">
        <w:rPr>
          <w:rFonts w:ascii="Arial" w:hAnsi="Arial" w:cs="Arial"/>
          <w:lang w:val="fr-CA"/>
        </w:rPr>
        <w:t>Les raccords d’eau d’alimentation et de retour doivent être de 1¼ po pour le modèle NFB-301C et de 1½ po pour le modèle NFB-399C.</w:t>
      </w:r>
    </w:p>
    <w:p w14:paraId="44DF27F0" w14:textId="77777777" w:rsidR="009A6BF6" w:rsidRPr="007E1BF2" w:rsidRDefault="009A6BF6" w:rsidP="00B137B8">
      <w:pPr>
        <w:pStyle w:val="Sansinterligne"/>
        <w:rPr>
          <w:lang w:val="fr-CA"/>
        </w:rPr>
      </w:pPr>
    </w:p>
    <w:p w14:paraId="400BFC8D" w14:textId="3E8D4D0F" w:rsidR="00746FA8" w:rsidRPr="007E1BF2" w:rsidRDefault="006E7CEC" w:rsidP="00746FA8">
      <w:pPr>
        <w:pStyle w:val="Paragraphedeliste"/>
        <w:numPr>
          <w:ilvl w:val="1"/>
          <w:numId w:val="1"/>
        </w:numPr>
        <w:tabs>
          <w:tab w:val="left" w:pos="450"/>
        </w:tabs>
        <w:rPr>
          <w:rFonts w:ascii="Arial" w:hAnsi="Arial" w:cs="Arial"/>
          <w:lang w:val="fr-CA"/>
        </w:rPr>
      </w:pPr>
      <w:r w:rsidRPr="007E1BF2">
        <w:rPr>
          <w:rFonts w:ascii="Arial" w:hAnsi="Arial" w:cs="Arial"/>
          <w:lang w:val="fr-CA"/>
        </w:rPr>
        <w:t>Composants électriques</w:t>
      </w:r>
    </w:p>
    <w:p w14:paraId="4E0442D6" w14:textId="77777777" w:rsidR="006E7CEC" w:rsidRPr="007E1BF2" w:rsidRDefault="006E7CEC" w:rsidP="003701E0">
      <w:pPr>
        <w:pStyle w:val="Paragraphedeliste"/>
        <w:numPr>
          <w:ilvl w:val="2"/>
          <w:numId w:val="1"/>
        </w:numPr>
        <w:tabs>
          <w:tab w:val="left" w:pos="450"/>
        </w:tabs>
        <w:rPr>
          <w:rFonts w:ascii="Arial" w:hAnsi="Arial" w:cs="Arial"/>
          <w:lang w:val="fr-CA"/>
        </w:rPr>
      </w:pPr>
      <w:r w:rsidRPr="007E1BF2">
        <w:rPr>
          <w:rFonts w:ascii="Arial" w:hAnsi="Arial" w:cs="Arial"/>
          <w:lang w:val="fr-CA"/>
        </w:rPr>
        <w:t>L’alimentation électrique principale doit être de 110-120 VAC, 60 Hz, triphasée et ne doit pas dépasser 15 A.</w:t>
      </w:r>
    </w:p>
    <w:p w14:paraId="48587C22" w14:textId="71A72767" w:rsidR="006E7CEC" w:rsidRPr="007E1BF2" w:rsidRDefault="006E7CEC" w:rsidP="003701E0">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La carte de circuit imprimé de la chaudière doit être munie de contacts secs conçus pour brancher 3 pompes de zone, la pompe de la chaudière, l’interrupteur de niveau d’eau, 3 thermostats, la commande pour pompe de zone Navien Smartzone, les </w:t>
      </w:r>
      <w:r w:rsidR="00901E05">
        <w:rPr>
          <w:rFonts w:ascii="Arial" w:hAnsi="Arial" w:cs="Arial"/>
          <w:lang w:val="fr-CA"/>
        </w:rPr>
        <w:t>sondes</w:t>
      </w:r>
      <w:r w:rsidRPr="007E1BF2">
        <w:rPr>
          <w:rFonts w:ascii="Arial" w:hAnsi="Arial" w:cs="Arial"/>
          <w:lang w:val="fr-CA"/>
        </w:rPr>
        <w:t xml:space="preserve"> de température d’alimentation et retour, </w:t>
      </w:r>
      <w:r w:rsidR="00901E05">
        <w:rPr>
          <w:rFonts w:ascii="Arial" w:hAnsi="Arial" w:cs="Arial"/>
          <w:lang w:val="fr-CA"/>
        </w:rPr>
        <w:t>la</w:t>
      </w:r>
      <w:r w:rsidRPr="007E1BF2">
        <w:rPr>
          <w:rFonts w:ascii="Arial" w:hAnsi="Arial" w:cs="Arial"/>
          <w:lang w:val="fr-CA"/>
        </w:rPr>
        <w:t xml:space="preserve"> </w:t>
      </w:r>
      <w:r w:rsidR="00901E05">
        <w:rPr>
          <w:rFonts w:ascii="Arial" w:hAnsi="Arial" w:cs="Arial"/>
          <w:lang w:val="fr-CA"/>
        </w:rPr>
        <w:t>sonde</w:t>
      </w:r>
      <w:r w:rsidRPr="007E1BF2">
        <w:rPr>
          <w:rFonts w:ascii="Arial" w:hAnsi="Arial" w:cs="Arial"/>
          <w:lang w:val="fr-CA"/>
        </w:rPr>
        <w:t xml:space="preserve"> de température extérieure, les contacts d’alarme, le réservoir d’eau chaude domestique, l’interrupteur de traitement d’air et la commande en cascade pour jusqu’à 16 chaudières.</w:t>
      </w:r>
    </w:p>
    <w:p w14:paraId="1829D129" w14:textId="77777777" w:rsidR="00EC3C29" w:rsidRPr="007E1BF2" w:rsidRDefault="00AC0850" w:rsidP="00B137B8">
      <w:pPr>
        <w:pStyle w:val="Sansinterligne"/>
        <w:rPr>
          <w:lang w:val="fr-CA"/>
        </w:rPr>
      </w:pPr>
      <w:r w:rsidRPr="007E1BF2">
        <w:rPr>
          <w:lang w:val="fr-CA"/>
        </w:rPr>
        <w:tab/>
      </w:r>
    </w:p>
    <w:p w14:paraId="7E222DA1" w14:textId="3924FA35" w:rsidR="006E7CEC" w:rsidRPr="007E1BF2" w:rsidRDefault="006E7CEC" w:rsidP="00746FA8">
      <w:pPr>
        <w:pStyle w:val="Paragraphedeliste"/>
        <w:numPr>
          <w:ilvl w:val="1"/>
          <w:numId w:val="1"/>
        </w:numPr>
        <w:tabs>
          <w:tab w:val="left" w:pos="450"/>
        </w:tabs>
        <w:rPr>
          <w:rFonts w:ascii="Arial" w:hAnsi="Arial" w:cs="Arial"/>
          <w:lang w:val="fr-CA"/>
        </w:rPr>
      </w:pPr>
      <w:r w:rsidRPr="007E1BF2">
        <w:rPr>
          <w:rFonts w:ascii="Arial" w:hAnsi="Arial" w:cs="Arial"/>
          <w:lang w:val="fr-CA"/>
        </w:rPr>
        <w:t>Les commandes doivent être certifiées et livrées avec les caractéristiques suivantes :</w:t>
      </w:r>
    </w:p>
    <w:p w14:paraId="199852F5" w14:textId="347F8159" w:rsidR="006E7CEC" w:rsidRPr="007E1BF2" w:rsidRDefault="006E7CEC" w:rsidP="006E7CEC">
      <w:pPr>
        <w:pStyle w:val="Paragraphedeliste"/>
        <w:numPr>
          <w:ilvl w:val="2"/>
          <w:numId w:val="1"/>
        </w:numPr>
        <w:tabs>
          <w:tab w:val="left" w:pos="450"/>
        </w:tabs>
        <w:rPr>
          <w:rFonts w:ascii="Arial" w:hAnsi="Arial" w:cs="Arial"/>
          <w:lang w:val="fr-CA"/>
        </w:rPr>
      </w:pPr>
      <w:r w:rsidRPr="007E1BF2">
        <w:rPr>
          <w:rFonts w:ascii="Arial" w:hAnsi="Arial" w:cs="Arial"/>
          <w:lang w:val="fr-CA"/>
        </w:rPr>
        <w:t xml:space="preserve">Le système de commande doit comprendre un écran tactile couleur </w:t>
      </w:r>
      <w:r w:rsidR="006B674B" w:rsidRPr="007E1BF2">
        <w:rPr>
          <w:rFonts w:ascii="Arial" w:hAnsi="Arial" w:cs="Arial"/>
          <w:lang w:val="fr-CA"/>
        </w:rPr>
        <w:t>intégré de 7 po permettant d’allumer et fermer la chaudière, de suivre son fonctionnement, de changer de mode de fonctionnement (chauffage et eau chaude domestique), d’ajuster les paramètres de fonctionnement, de configurer le fonctionnement en cascade et de consulter l’historique des erreurs et des notifications.</w:t>
      </w:r>
    </w:p>
    <w:p w14:paraId="1A91F0B3" w14:textId="22164B98" w:rsidR="006B674B" w:rsidRPr="007E1BF2" w:rsidRDefault="006B674B" w:rsidP="006E7CEC">
      <w:pPr>
        <w:pStyle w:val="Paragraphedeliste"/>
        <w:numPr>
          <w:ilvl w:val="2"/>
          <w:numId w:val="1"/>
        </w:numPr>
        <w:tabs>
          <w:tab w:val="left" w:pos="450"/>
        </w:tabs>
        <w:rPr>
          <w:rFonts w:ascii="Arial" w:hAnsi="Arial" w:cs="Arial"/>
          <w:lang w:val="fr-CA"/>
        </w:rPr>
      </w:pPr>
      <w:r w:rsidRPr="007E1BF2">
        <w:rPr>
          <w:rFonts w:ascii="Arial" w:hAnsi="Arial" w:cs="Arial"/>
          <w:lang w:val="fr-CA"/>
        </w:rPr>
        <w:t>Interrupteur de niveau d’eau avec réinitialisation manuelle.</w:t>
      </w:r>
    </w:p>
    <w:p w14:paraId="3B316F08" w14:textId="5BC6AF60" w:rsidR="006B674B" w:rsidRPr="007E1BF2" w:rsidRDefault="006B674B" w:rsidP="006E7CEC">
      <w:pPr>
        <w:pStyle w:val="Paragraphedeliste"/>
        <w:numPr>
          <w:ilvl w:val="2"/>
          <w:numId w:val="1"/>
        </w:numPr>
        <w:tabs>
          <w:tab w:val="left" w:pos="450"/>
        </w:tabs>
        <w:rPr>
          <w:rFonts w:ascii="Arial" w:hAnsi="Arial" w:cs="Arial"/>
          <w:lang w:val="fr-CA"/>
        </w:rPr>
      </w:pPr>
      <w:r w:rsidRPr="007E1BF2">
        <w:rPr>
          <w:rFonts w:ascii="Arial" w:hAnsi="Arial" w:cs="Arial"/>
          <w:lang w:val="fr-CA"/>
        </w:rPr>
        <w:t>Soupape de surpression certifiée par l’ASME r</w:t>
      </w:r>
      <w:r w:rsidR="008021EE">
        <w:rPr>
          <w:rFonts w:ascii="Arial" w:hAnsi="Arial" w:cs="Arial"/>
          <w:lang w:val="fr-CA"/>
        </w:rPr>
        <w:t>é</w:t>
      </w:r>
      <w:r w:rsidRPr="007E1BF2">
        <w:rPr>
          <w:rFonts w:ascii="Arial" w:hAnsi="Arial" w:cs="Arial"/>
          <w:lang w:val="fr-CA"/>
        </w:rPr>
        <w:t xml:space="preserve">glée à 50 psig par défaut, avec soupapes de surpression de 75 et 150 psig offertes en option. </w:t>
      </w:r>
    </w:p>
    <w:p w14:paraId="0001AAE3" w14:textId="3ED3EC06" w:rsidR="006B674B" w:rsidRPr="007E1BF2" w:rsidRDefault="006B674B" w:rsidP="00DD0D22">
      <w:pPr>
        <w:pStyle w:val="Paragraphedeliste"/>
        <w:numPr>
          <w:ilvl w:val="2"/>
          <w:numId w:val="1"/>
        </w:numPr>
        <w:tabs>
          <w:tab w:val="left" w:pos="450"/>
        </w:tabs>
        <w:rPr>
          <w:rFonts w:ascii="Arial" w:hAnsi="Arial" w:cs="Arial"/>
          <w:lang w:val="fr-CA"/>
        </w:rPr>
      </w:pPr>
      <w:r w:rsidRPr="007E1BF2">
        <w:rPr>
          <w:rFonts w:ascii="Arial" w:hAnsi="Arial" w:cs="Arial"/>
          <w:lang w:val="fr-CA"/>
        </w:rPr>
        <w:t>Capteurs de température pour les gaz de combustion et l’eau d’alimentation et de retour.</w:t>
      </w:r>
    </w:p>
    <w:p w14:paraId="1B611565" w14:textId="7F3A3D5E" w:rsidR="006B674B" w:rsidRPr="007E1BF2" w:rsidRDefault="006B674B"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Circulateur exerçant la logique de commande.</w:t>
      </w:r>
    </w:p>
    <w:p w14:paraId="78514A96" w14:textId="53A55AC4" w:rsidR="006B674B" w:rsidRPr="007E1BF2" w:rsidRDefault="006B674B"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Protection antigel intégrée.</w:t>
      </w:r>
    </w:p>
    <w:p w14:paraId="0997EE7E" w14:textId="2B414865" w:rsidR="006B674B" w:rsidRPr="007E1BF2" w:rsidRDefault="006B674B"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Fonction d’arrêt en cas de température chaude.</w:t>
      </w:r>
    </w:p>
    <w:p w14:paraId="6510E65A" w14:textId="1ECD5C38" w:rsidR="006B674B" w:rsidRPr="007E1BF2" w:rsidRDefault="006B674B"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4 contacts pour pompes (chaudière, zone1/eau chaude domestique, zone2 et zone3/système).</w:t>
      </w:r>
    </w:p>
    <w:p w14:paraId="4757A144" w14:textId="46BC5BD5" w:rsidR="006B674B" w:rsidRPr="007E1BF2" w:rsidRDefault="006B674B"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Courbe de réinitialisation selon la température extérieure enti</w:t>
      </w:r>
      <w:r w:rsidR="00F5378F" w:rsidRPr="007E1BF2">
        <w:rPr>
          <w:rFonts w:ascii="Arial" w:hAnsi="Arial" w:cs="Arial"/>
          <w:lang w:val="fr-CA"/>
        </w:rPr>
        <w:t xml:space="preserve">èrement modifiable avec </w:t>
      </w:r>
      <w:r w:rsidR="00901E05">
        <w:rPr>
          <w:rFonts w:ascii="Arial" w:hAnsi="Arial" w:cs="Arial"/>
          <w:lang w:val="fr-CA"/>
        </w:rPr>
        <w:t>sonde</w:t>
      </w:r>
      <w:r w:rsidR="00F5378F" w:rsidRPr="007E1BF2">
        <w:rPr>
          <w:rFonts w:ascii="Arial" w:hAnsi="Arial" w:cs="Arial"/>
          <w:lang w:val="fr-CA"/>
        </w:rPr>
        <w:t xml:space="preserve"> de température extérieure installée sur le terrain.</w:t>
      </w:r>
    </w:p>
    <w:p w14:paraId="48109DC1" w14:textId="741F14FD" w:rsidR="00F5378F" w:rsidRPr="007E1BF2" w:rsidRDefault="00F5378F"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Fonctionnalité de système multichaudières avec rotation de la chaudière principale (gestion lead/lag) pour jusqu’à 16 chaudières.</w:t>
      </w:r>
    </w:p>
    <w:p w14:paraId="5259D57E" w14:textId="4388E651" w:rsidR="00F5378F" w:rsidRPr="007E1BF2" w:rsidRDefault="00F5378F"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Contacts indiquant les verrouillages nécessitant une réinitialisation manuelle : flamme défectueuse, limite de température élevée, limite de pression élevée, limite de niveau d’eau et limite de pression de l’air.</w:t>
      </w:r>
    </w:p>
    <w:p w14:paraId="677513F6" w14:textId="2F63AB9F" w:rsidR="00F5378F" w:rsidRPr="007E1BF2" w:rsidRDefault="00F5378F"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Tige de détection de flammes.</w:t>
      </w:r>
    </w:p>
    <w:p w14:paraId="0CFCD449" w14:textId="370C7080" w:rsidR="00F5378F" w:rsidRPr="007E1BF2" w:rsidRDefault="00F5378F"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Historique des alarmes, des conditions de fonctionnement, des défauts et des notifications.</w:t>
      </w:r>
    </w:p>
    <w:p w14:paraId="7344B20B" w14:textId="3E3B470B" w:rsidR="00F5378F" w:rsidRPr="007E1BF2" w:rsidRDefault="00F5378F"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Fonctionnalité de communication de la commande avec NaviLink pour commander la température à distance, consulter les données d’utilisation et recevoir des notifications de diagnostic.</w:t>
      </w:r>
    </w:p>
    <w:p w14:paraId="36579F38" w14:textId="71F70A23" w:rsidR="00F5378F" w:rsidRPr="007E1BF2" w:rsidRDefault="00F5378F" w:rsidP="00454D44">
      <w:pPr>
        <w:pStyle w:val="Paragraphedeliste"/>
        <w:numPr>
          <w:ilvl w:val="2"/>
          <w:numId w:val="1"/>
        </w:numPr>
        <w:tabs>
          <w:tab w:val="left" w:pos="450"/>
        </w:tabs>
        <w:rPr>
          <w:rFonts w:ascii="Arial" w:hAnsi="Arial" w:cs="Arial"/>
          <w:lang w:val="fr-CA"/>
        </w:rPr>
      </w:pPr>
      <w:r w:rsidRPr="007E1BF2">
        <w:rPr>
          <w:rFonts w:ascii="Arial" w:hAnsi="Arial" w:cs="Arial"/>
          <w:lang w:val="fr-CA"/>
        </w:rPr>
        <w:t>Fonctionnalité de communication de la commande avec les systèmes de gestion d’immeubles utilisant les protocoles de communication Modbus, BACnet ou LonWorks.</w:t>
      </w:r>
    </w:p>
    <w:p w14:paraId="141F3D89" w14:textId="77777777" w:rsidR="007A68A8" w:rsidRPr="007E1BF2" w:rsidRDefault="007A68A8" w:rsidP="00B137B8">
      <w:pPr>
        <w:pStyle w:val="Sansinterligne"/>
        <w:rPr>
          <w:lang w:val="fr-CA"/>
        </w:rPr>
      </w:pPr>
    </w:p>
    <w:p w14:paraId="0D8869B8" w14:textId="44D7E502" w:rsidR="00746FA8" w:rsidRPr="007E1BF2" w:rsidRDefault="006B674B" w:rsidP="00B137B8">
      <w:pPr>
        <w:pStyle w:val="Paragraphedeliste"/>
        <w:numPr>
          <w:ilvl w:val="0"/>
          <w:numId w:val="1"/>
        </w:numPr>
        <w:tabs>
          <w:tab w:val="left" w:pos="450"/>
        </w:tabs>
        <w:ind w:hanging="720"/>
        <w:rPr>
          <w:rFonts w:ascii="Arial" w:hAnsi="Arial" w:cs="Arial"/>
          <w:b/>
          <w:lang w:val="fr-CA"/>
        </w:rPr>
      </w:pPr>
      <w:r w:rsidRPr="007E1BF2">
        <w:rPr>
          <w:rFonts w:ascii="Arial" w:hAnsi="Arial" w:cs="Arial"/>
          <w:b/>
          <w:lang w:val="fr-CA"/>
        </w:rPr>
        <w:t>Garantie</w:t>
      </w:r>
    </w:p>
    <w:p w14:paraId="6CA17768" w14:textId="3A5BD075" w:rsidR="00F5378F" w:rsidRPr="007E1BF2" w:rsidRDefault="00F5378F" w:rsidP="002D36FF">
      <w:pPr>
        <w:pStyle w:val="Paragraphedeliste"/>
        <w:numPr>
          <w:ilvl w:val="1"/>
          <w:numId w:val="1"/>
        </w:numPr>
        <w:tabs>
          <w:tab w:val="left" w:pos="450"/>
        </w:tabs>
        <w:rPr>
          <w:rFonts w:ascii="Arial" w:hAnsi="Arial" w:cs="Arial"/>
          <w:lang w:val="fr-CA"/>
        </w:rPr>
      </w:pPr>
      <w:r w:rsidRPr="007E1BF2">
        <w:rPr>
          <w:rFonts w:ascii="Arial" w:hAnsi="Arial" w:cs="Arial"/>
          <w:lang w:val="fr-CA"/>
        </w:rPr>
        <w:t xml:space="preserve">L’échangeur de chaleur doit être couvert par une garantie limitée de quinze (15) ans pour les applications résidentielles et d’une garantie limitée de dix (10) ans pour les applications commerciales. </w:t>
      </w:r>
    </w:p>
    <w:p w14:paraId="43A74405" w14:textId="12146A16" w:rsidR="00F5378F" w:rsidRPr="007E1BF2" w:rsidRDefault="00F5378F" w:rsidP="002D36FF">
      <w:pPr>
        <w:pStyle w:val="Paragraphedeliste"/>
        <w:numPr>
          <w:ilvl w:val="1"/>
          <w:numId w:val="1"/>
        </w:numPr>
        <w:tabs>
          <w:tab w:val="left" w:pos="450"/>
        </w:tabs>
        <w:rPr>
          <w:rFonts w:ascii="Arial" w:hAnsi="Arial" w:cs="Arial"/>
          <w:lang w:val="fr-CA"/>
        </w:rPr>
      </w:pPr>
      <w:r w:rsidRPr="007E1BF2">
        <w:rPr>
          <w:rFonts w:ascii="Arial" w:hAnsi="Arial" w:cs="Arial"/>
          <w:lang w:val="fr-CA"/>
        </w:rPr>
        <w:t xml:space="preserve">Toutes les autres pièces de la chaudière doivent être couvertes par une garantie de cinq (5) ans pour les applications résidentielles et d’une garantie de </w:t>
      </w:r>
      <w:r w:rsidR="004650A9" w:rsidRPr="007E1BF2">
        <w:rPr>
          <w:rFonts w:ascii="Arial" w:hAnsi="Arial" w:cs="Arial"/>
          <w:lang w:val="fr-CA"/>
        </w:rPr>
        <w:t>trois (3</w:t>
      </w:r>
      <w:r w:rsidRPr="007E1BF2">
        <w:rPr>
          <w:rFonts w:ascii="Arial" w:hAnsi="Arial" w:cs="Arial"/>
          <w:lang w:val="fr-CA"/>
        </w:rPr>
        <w:t>) ans pou</w:t>
      </w:r>
      <w:r w:rsidR="004650A9" w:rsidRPr="007E1BF2">
        <w:rPr>
          <w:rFonts w:ascii="Arial" w:hAnsi="Arial" w:cs="Arial"/>
          <w:lang w:val="fr-CA"/>
        </w:rPr>
        <w:t>r les applications commerciales sur les défauts de matériaux et de fabrication.</w:t>
      </w:r>
    </w:p>
    <w:p w14:paraId="63BF50C4" w14:textId="0FC89F83" w:rsidR="004650A9" w:rsidRPr="007E1BF2" w:rsidRDefault="004650A9" w:rsidP="002D36FF">
      <w:pPr>
        <w:pStyle w:val="Paragraphedeliste"/>
        <w:numPr>
          <w:ilvl w:val="1"/>
          <w:numId w:val="1"/>
        </w:numPr>
        <w:tabs>
          <w:tab w:val="left" w:pos="450"/>
        </w:tabs>
        <w:rPr>
          <w:rFonts w:ascii="Arial" w:hAnsi="Arial" w:cs="Arial"/>
          <w:lang w:val="fr-CA"/>
        </w:rPr>
      </w:pPr>
      <w:r w:rsidRPr="007E1BF2">
        <w:rPr>
          <w:rFonts w:ascii="Arial" w:hAnsi="Arial" w:cs="Arial"/>
          <w:lang w:val="fr-CA"/>
        </w:rPr>
        <w:t>La garantie sur la main-d’œuvre doit être d’un (1) an.</w:t>
      </w:r>
    </w:p>
    <w:p w14:paraId="1E9C2CC0" w14:textId="36A0A08F" w:rsidR="004650A9" w:rsidRPr="007E1BF2" w:rsidRDefault="004650A9" w:rsidP="002D36FF">
      <w:pPr>
        <w:pStyle w:val="Paragraphedeliste"/>
        <w:numPr>
          <w:ilvl w:val="1"/>
          <w:numId w:val="1"/>
        </w:numPr>
        <w:tabs>
          <w:tab w:val="left" w:pos="450"/>
        </w:tabs>
        <w:rPr>
          <w:rFonts w:ascii="Arial" w:hAnsi="Arial" w:cs="Arial"/>
          <w:lang w:val="fr-CA"/>
        </w:rPr>
      </w:pPr>
      <w:r w:rsidRPr="007E1BF2">
        <w:rPr>
          <w:rFonts w:ascii="Arial" w:hAnsi="Arial" w:cs="Arial"/>
          <w:lang w:val="fr-CA"/>
        </w:rPr>
        <w:t>La période de garantie doit être basée sur la date de fabrication ou la date d’installation (la plus récente des deux).</w:t>
      </w:r>
    </w:p>
    <w:p w14:paraId="4B3C50EF" w14:textId="6F409FE6" w:rsidR="004650A9" w:rsidRPr="007E1BF2" w:rsidRDefault="004650A9" w:rsidP="002D36FF">
      <w:pPr>
        <w:pStyle w:val="Paragraphedeliste"/>
        <w:numPr>
          <w:ilvl w:val="1"/>
          <w:numId w:val="1"/>
        </w:numPr>
        <w:tabs>
          <w:tab w:val="left" w:pos="450"/>
        </w:tabs>
        <w:rPr>
          <w:rFonts w:ascii="Arial" w:hAnsi="Arial" w:cs="Arial"/>
          <w:lang w:val="fr-CA"/>
        </w:rPr>
      </w:pPr>
      <w:r w:rsidRPr="007E1BF2">
        <w:rPr>
          <w:rFonts w:ascii="Arial" w:hAnsi="Arial" w:cs="Arial"/>
          <w:lang w:val="fr-CA"/>
        </w:rPr>
        <w:t xml:space="preserve">La période de garantie pour </w:t>
      </w:r>
      <w:r w:rsidR="007E1BF2" w:rsidRPr="007E1BF2">
        <w:rPr>
          <w:rFonts w:ascii="Arial" w:hAnsi="Arial" w:cs="Arial"/>
          <w:lang w:val="fr-CA"/>
        </w:rPr>
        <w:t>l’installation dans une nouvelle construction doit débuter à partir de la date où l’utilisateur final acquiert le titre de propriété du développeur ou du constructeur, et non pas la date de l’installation.</w:t>
      </w:r>
    </w:p>
    <w:p w14:paraId="313DCDAD" w14:textId="77777777" w:rsidR="0035380A" w:rsidRPr="007E1BF2" w:rsidRDefault="0035380A" w:rsidP="00B137B8">
      <w:pPr>
        <w:pStyle w:val="Sansinterligne"/>
        <w:rPr>
          <w:lang w:val="fr-CA"/>
        </w:rPr>
      </w:pPr>
    </w:p>
    <w:p w14:paraId="2B083559" w14:textId="795ED8D4" w:rsidR="00F43F43" w:rsidRPr="007E1BF2" w:rsidRDefault="006B674B" w:rsidP="002A4D4B">
      <w:pPr>
        <w:pStyle w:val="Paragraphedeliste"/>
        <w:numPr>
          <w:ilvl w:val="0"/>
          <w:numId w:val="1"/>
        </w:numPr>
        <w:tabs>
          <w:tab w:val="left" w:pos="450"/>
        </w:tabs>
        <w:ind w:hanging="720"/>
        <w:rPr>
          <w:rFonts w:ascii="Arial" w:hAnsi="Arial" w:cs="Arial"/>
          <w:b/>
          <w:lang w:val="fr-CA"/>
        </w:rPr>
      </w:pPr>
      <w:r w:rsidRPr="007E1BF2">
        <w:rPr>
          <w:rFonts w:ascii="Arial" w:hAnsi="Arial" w:cs="Arial"/>
          <w:b/>
          <w:lang w:val="fr-CA"/>
        </w:rPr>
        <w:t>Manuels</w:t>
      </w:r>
    </w:p>
    <w:p w14:paraId="38AE6927" w14:textId="08AA15B9" w:rsidR="00CB65E3" w:rsidRPr="007E1BF2" w:rsidRDefault="007E1BF2" w:rsidP="007E1BF2">
      <w:pPr>
        <w:pStyle w:val="Paragraphedeliste"/>
        <w:numPr>
          <w:ilvl w:val="1"/>
          <w:numId w:val="1"/>
        </w:numPr>
        <w:tabs>
          <w:tab w:val="left" w:pos="450"/>
        </w:tabs>
        <w:rPr>
          <w:rFonts w:ascii="Arial" w:hAnsi="Arial" w:cs="Arial"/>
          <w:lang w:val="fr-CA"/>
        </w:rPr>
      </w:pPr>
      <w:r w:rsidRPr="007E1BF2">
        <w:rPr>
          <w:rFonts w:ascii="Arial" w:hAnsi="Arial" w:cs="Arial"/>
          <w:lang w:val="fr-CA"/>
        </w:rPr>
        <w:t xml:space="preserve">Le dossier complet des documents relatifs au produit, y compris la brochure de présentation, le manuel d’installation, le manuel d’utilisation, les schémas </w:t>
      </w:r>
      <w:r w:rsidR="003C130A">
        <w:rPr>
          <w:rFonts w:ascii="Arial" w:hAnsi="Arial" w:cs="Arial"/>
          <w:lang w:val="fr-CA"/>
        </w:rPr>
        <w:t xml:space="preserve">de </w:t>
      </w:r>
      <w:r w:rsidRPr="007E1BF2">
        <w:rPr>
          <w:rFonts w:ascii="Arial" w:hAnsi="Arial" w:cs="Arial"/>
          <w:lang w:val="fr-CA"/>
        </w:rPr>
        <w:t>connexions, les schémas de tuyauterie, les séquences de commande, les devis d’ingénierie, les documents de soumission et les garanties, doit être soumis pour approbation au moins 7 jours avant la date de fermeture des soumissions.</w:t>
      </w:r>
    </w:p>
    <w:sectPr w:rsidR="00CB65E3" w:rsidRPr="007E1BF2" w:rsidSect="0067494F">
      <w:headerReference w:type="default" r:id="rId9"/>
      <w:footerReference w:type="default" r:id="rId10"/>
      <w:pgSz w:w="12240" w:h="15840"/>
      <w:pgMar w:top="1350" w:right="1440" w:bottom="1710" w:left="1440" w:header="360" w:footer="144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2E3C60" w14:textId="77777777" w:rsidR="008B7429" w:rsidRDefault="008B7429" w:rsidP="003511D7">
      <w:pPr>
        <w:spacing w:after="0" w:line="240" w:lineRule="auto"/>
      </w:pPr>
      <w:r>
        <w:separator/>
      </w:r>
    </w:p>
  </w:endnote>
  <w:endnote w:type="continuationSeparator" w:id="0">
    <w:p w14:paraId="49416332" w14:textId="77777777" w:rsidR="008B7429" w:rsidRDefault="008B7429" w:rsidP="0035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097215217"/>
      <w:docPartObj>
        <w:docPartGallery w:val="Page Numbers (Bottom of Page)"/>
        <w:docPartUnique/>
      </w:docPartObj>
    </w:sdtPr>
    <w:sdtEndPr/>
    <w:sdtContent>
      <w:sdt>
        <w:sdtPr>
          <w:rPr>
            <w:sz w:val="18"/>
            <w:szCs w:val="18"/>
          </w:rPr>
          <w:id w:val="-1705238520"/>
          <w:docPartObj>
            <w:docPartGallery w:val="Page Numbers (Top of Page)"/>
            <w:docPartUnique/>
          </w:docPartObj>
        </w:sdtPr>
        <w:sdtEndPr/>
        <w:sdtContent>
          <w:p w14:paraId="6EBFFFE9" w14:textId="79D2A202" w:rsidR="006E7CEC" w:rsidRPr="007853B9" w:rsidRDefault="006E7CEC" w:rsidP="007853B9">
            <w:pPr>
              <w:pStyle w:val="Pieddepage"/>
              <w:jc w:val="both"/>
              <w:rPr>
                <w:sz w:val="18"/>
                <w:szCs w:val="18"/>
              </w:rPr>
            </w:pPr>
            <w:r>
              <w:rPr>
                <w:noProof/>
                <w:lang w:val="fr-CA" w:eastAsia="fr-CA"/>
              </w:rPr>
              <w:drawing>
                <wp:anchor distT="0" distB="0" distL="114300" distR="114300" simplePos="0" relativeHeight="251658239" behindDoc="0" locked="0" layoutInCell="1" allowOverlap="1" wp14:anchorId="7261CB03" wp14:editId="790D2161">
                  <wp:simplePos x="0" y="0"/>
                  <wp:positionH relativeFrom="column">
                    <wp:posOffset>-913130</wp:posOffset>
                  </wp:positionH>
                  <wp:positionV relativeFrom="page">
                    <wp:posOffset>9153608</wp:posOffset>
                  </wp:positionV>
                  <wp:extent cx="7774305"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12_Letterhead_Foot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4305" cy="9144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7853B9">
              <w:rPr>
                <w:sz w:val="18"/>
                <w:szCs w:val="18"/>
              </w:rPr>
              <w:tab/>
              <w:t xml:space="preserve">                                                                                                                   </w:t>
            </w:r>
            <w:r w:rsidRPr="007853B9">
              <w:rPr>
                <w:bCs/>
                <w:sz w:val="18"/>
                <w:szCs w:val="18"/>
              </w:rPr>
              <w:t xml:space="preserve">                                            </w:t>
            </w:r>
            <w:r>
              <w:rPr>
                <w:bCs/>
                <w:sz w:val="18"/>
                <w:szCs w:val="18"/>
              </w:rPr>
              <w:t xml:space="preserve">                                                </w:t>
            </w:r>
            <w:r w:rsidRPr="007853B9">
              <w:rPr>
                <w:bCs/>
                <w:sz w:val="18"/>
                <w:szCs w:val="18"/>
              </w:rPr>
              <w:t xml:space="preserve">Page </w:t>
            </w:r>
            <w:r w:rsidRPr="007853B9">
              <w:rPr>
                <w:bCs/>
                <w:sz w:val="18"/>
                <w:szCs w:val="18"/>
              </w:rPr>
              <w:fldChar w:fldCharType="begin"/>
            </w:r>
            <w:r w:rsidRPr="007853B9">
              <w:rPr>
                <w:bCs/>
                <w:sz w:val="18"/>
                <w:szCs w:val="18"/>
              </w:rPr>
              <w:instrText xml:space="preserve"> PAGE  \* Arabic  \* MERGEFORMAT </w:instrText>
            </w:r>
            <w:r w:rsidRPr="007853B9">
              <w:rPr>
                <w:bCs/>
                <w:sz w:val="18"/>
                <w:szCs w:val="18"/>
              </w:rPr>
              <w:fldChar w:fldCharType="separate"/>
            </w:r>
            <w:r w:rsidR="00AD4655">
              <w:rPr>
                <w:bCs/>
                <w:noProof/>
                <w:sz w:val="18"/>
                <w:szCs w:val="18"/>
              </w:rPr>
              <w:t>5</w:t>
            </w:r>
            <w:r w:rsidRPr="007853B9">
              <w:rPr>
                <w:bCs/>
                <w:sz w:val="18"/>
                <w:szCs w:val="18"/>
              </w:rPr>
              <w:fldChar w:fldCharType="end"/>
            </w:r>
            <w:r>
              <w:rPr>
                <w:bCs/>
                <w:sz w:val="18"/>
                <w:szCs w:val="18"/>
              </w:rPr>
              <w:t xml:space="preserve"> de</w:t>
            </w:r>
            <w:r w:rsidRPr="007853B9">
              <w:rPr>
                <w:bCs/>
                <w:sz w:val="18"/>
                <w:szCs w:val="18"/>
              </w:rPr>
              <w:t xml:space="preserve"> </w:t>
            </w:r>
            <w:r w:rsidRPr="007853B9">
              <w:rPr>
                <w:bCs/>
                <w:sz w:val="18"/>
                <w:szCs w:val="18"/>
              </w:rPr>
              <w:fldChar w:fldCharType="begin"/>
            </w:r>
            <w:r w:rsidRPr="007853B9">
              <w:rPr>
                <w:bCs/>
                <w:sz w:val="18"/>
                <w:szCs w:val="18"/>
              </w:rPr>
              <w:instrText xml:space="preserve"> NUMPAGES  \* Arabic  \* MERGEFORMAT </w:instrText>
            </w:r>
            <w:r w:rsidRPr="007853B9">
              <w:rPr>
                <w:bCs/>
                <w:sz w:val="18"/>
                <w:szCs w:val="18"/>
              </w:rPr>
              <w:fldChar w:fldCharType="separate"/>
            </w:r>
            <w:r w:rsidR="00AD4655">
              <w:rPr>
                <w:bCs/>
                <w:noProof/>
                <w:sz w:val="18"/>
                <w:szCs w:val="18"/>
              </w:rPr>
              <w:t>5</w:t>
            </w:r>
            <w:r w:rsidRPr="007853B9">
              <w:rPr>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FDF1A" w14:textId="77777777" w:rsidR="008B7429" w:rsidRDefault="008B7429" w:rsidP="003511D7">
      <w:pPr>
        <w:spacing w:after="0" w:line="240" w:lineRule="auto"/>
      </w:pPr>
      <w:r>
        <w:separator/>
      </w:r>
    </w:p>
  </w:footnote>
  <w:footnote w:type="continuationSeparator" w:id="0">
    <w:p w14:paraId="06E7C818" w14:textId="77777777" w:rsidR="008B7429" w:rsidRDefault="008B7429" w:rsidP="003511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E774F" w14:textId="2C1E1307" w:rsidR="006E7CEC" w:rsidRPr="007E4AAC" w:rsidRDefault="006E7CEC" w:rsidP="0067494F">
    <w:pPr>
      <w:pStyle w:val="En-tte"/>
      <w:tabs>
        <w:tab w:val="clear" w:pos="4680"/>
        <w:tab w:val="clear" w:pos="9360"/>
        <w:tab w:val="left" w:pos="1027"/>
      </w:tabs>
      <w:rPr>
        <w:rFonts w:ascii="Arial" w:hAnsi="Arial" w:cs="Arial"/>
        <w:sz w:val="18"/>
        <w:szCs w:val="18"/>
      </w:rPr>
    </w:pPr>
    <w:r>
      <w:rPr>
        <w:noProof/>
        <w:lang w:val="fr-CA" w:eastAsia="fr-CA"/>
      </w:rPr>
      <w:drawing>
        <wp:anchor distT="0" distB="0" distL="114300" distR="114300" simplePos="0" relativeHeight="251659264" behindDoc="0" locked="0" layoutInCell="1" allowOverlap="1" wp14:anchorId="6D5937CE" wp14:editId="001BC661">
          <wp:simplePos x="0" y="0"/>
          <wp:positionH relativeFrom="margin">
            <wp:posOffset>-452920</wp:posOffset>
          </wp:positionH>
          <wp:positionV relativeFrom="margin">
            <wp:posOffset>-850900</wp:posOffset>
          </wp:positionV>
          <wp:extent cx="7670308" cy="914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670308" cy="9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A2483"/>
    <w:multiLevelType w:val="hybridMultilevel"/>
    <w:tmpl w:val="E5F8E41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427829B0"/>
    <w:multiLevelType w:val="hybridMultilevel"/>
    <w:tmpl w:val="EB2C7C7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58034D1"/>
    <w:multiLevelType w:val="hybridMultilevel"/>
    <w:tmpl w:val="913ACB9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9AA"/>
    <w:rsid w:val="0003213D"/>
    <w:rsid w:val="00032E12"/>
    <w:rsid w:val="00034DA4"/>
    <w:rsid w:val="000A1E25"/>
    <w:rsid w:val="000A35B0"/>
    <w:rsid w:val="000C32D3"/>
    <w:rsid w:val="000C5C4E"/>
    <w:rsid w:val="000E18D3"/>
    <w:rsid w:val="000F4F30"/>
    <w:rsid w:val="0013518E"/>
    <w:rsid w:val="0014379E"/>
    <w:rsid w:val="00154B6E"/>
    <w:rsid w:val="001B6B09"/>
    <w:rsid w:val="001B7E02"/>
    <w:rsid w:val="001C1D47"/>
    <w:rsid w:val="001D2D9C"/>
    <w:rsid w:val="001F7FDF"/>
    <w:rsid w:val="00203460"/>
    <w:rsid w:val="002133EA"/>
    <w:rsid w:val="00215C5A"/>
    <w:rsid w:val="002431E9"/>
    <w:rsid w:val="0024581A"/>
    <w:rsid w:val="00256A9A"/>
    <w:rsid w:val="0027224C"/>
    <w:rsid w:val="00274435"/>
    <w:rsid w:val="002957FC"/>
    <w:rsid w:val="002A2940"/>
    <w:rsid w:val="002A4D4B"/>
    <w:rsid w:val="002D36FF"/>
    <w:rsid w:val="002D5A99"/>
    <w:rsid w:val="003511D7"/>
    <w:rsid w:val="0035380A"/>
    <w:rsid w:val="003701E0"/>
    <w:rsid w:val="003876AB"/>
    <w:rsid w:val="003907E8"/>
    <w:rsid w:val="003A0452"/>
    <w:rsid w:val="003C130A"/>
    <w:rsid w:val="003C586B"/>
    <w:rsid w:val="003E13CD"/>
    <w:rsid w:val="003E186E"/>
    <w:rsid w:val="003E580A"/>
    <w:rsid w:val="004063FD"/>
    <w:rsid w:val="00407203"/>
    <w:rsid w:val="00411381"/>
    <w:rsid w:val="00423A1C"/>
    <w:rsid w:val="00423F32"/>
    <w:rsid w:val="004263DB"/>
    <w:rsid w:val="00426B1C"/>
    <w:rsid w:val="004431D1"/>
    <w:rsid w:val="00443BDF"/>
    <w:rsid w:val="00452C4C"/>
    <w:rsid w:val="004540FD"/>
    <w:rsid w:val="00454D44"/>
    <w:rsid w:val="004650A9"/>
    <w:rsid w:val="00490652"/>
    <w:rsid w:val="004955A7"/>
    <w:rsid w:val="004C4577"/>
    <w:rsid w:val="004D6A21"/>
    <w:rsid w:val="0051610A"/>
    <w:rsid w:val="00521ACB"/>
    <w:rsid w:val="00531289"/>
    <w:rsid w:val="00577C1E"/>
    <w:rsid w:val="00585CAE"/>
    <w:rsid w:val="0059134C"/>
    <w:rsid w:val="00591528"/>
    <w:rsid w:val="00593C09"/>
    <w:rsid w:val="005B44B3"/>
    <w:rsid w:val="005C178E"/>
    <w:rsid w:val="005C1EBF"/>
    <w:rsid w:val="006039AD"/>
    <w:rsid w:val="0061157D"/>
    <w:rsid w:val="006224E4"/>
    <w:rsid w:val="0062285E"/>
    <w:rsid w:val="00666507"/>
    <w:rsid w:val="00673F2C"/>
    <w:rsid w:val="0067494F"/>
    <w:rsid w:val="00697A8A"/>
    <w:rsid w:val="006B674B"/>
    <w:rsid w:val="006E6E09"/>
    <w:rsid w:val="006E7CEC"/>
    <w:rsid w:val="006F2D44"/>
    <w:rsid w:val="007240EC"/>
    <w:rsid w:val="00727B05"/>
    <w:rsid w:val="007356BB"/>
    <w:rsid w:val="0074117C"/>
    <w:rsid w:val="00746FA8"/>
    <w:rsid w:val="00762061"/>
    <w:rsid w:val="007853B9"/>
    <w:rsid w:val="007879B3"/>
    <w:rsid w:val="007906B7"/>
    <w:rsid w:val="007A68A8"/>
    <w:rsid w:val="007B2D47"/>
    <w:rsid w:val="007C091C"/>
    <w:rsid w:val="007C0ED4"/>
    <w:rsid w:val="007D2ED3"/>
    <w:rsid w:val="007D7A05"/>
    <w:rsid w:val="007E1BF2"/>
    <w:rsid w:val="007E4AAC"/>
    <w:rsid w:val="008021EE"/>
    <w:rsid w:val="00807C2F"/>
    <w:rsid w:val="00815A98"/>
    <w:rsid w:val="008172F0"/>
    <w:rsid w:val="00830005"/>
    <w:rsid w:val="00843790"/>
    <w:rsid w:val="0085155E"/>
    <w:rsid w:val="00855728"/>
    <w:rsid w:val="008768D3"/>
    <w:rsid w:val="0088310A"/>
    <w:rsid w:val="00884691"/>
    <w:rsid w:val="0089540B"/>
    <w:rsid w:val="008A6160"/>
    <w:rsid w:val="008B1362"/>
    <w:rsid w:val="008B7429"/>
    <w:rsid w:val="008C0D42"/>
    <w:rsid w:val="008D4CBD"/>
    <w:rsid w:val="008D63E8"/>
    <w:rsid w:val="008E57B5"/>
    <w:rsid w:val="008E5FE3"/>
    <w:rsid w:val="008F1972"/>
    <w:rsid w:val="008F21C5"/>
    <w:rsid w:val="00901E05"/>
    <w:rsid w:val="00924C8B"/>
    <w:rsid w:val="00955395"/>
    <w:rsid w:val="0097178B"/>
    <w:rsid w:val="009A20AB"/>
    <w:rsid w:val="009A6BF6"/>
    <w:rsid w:val="009B20C4"/>
    <w:rsid w:val="009C7BC5"/>
    <w:rsid w:val="009D2FAE"/>
    <w:rsid w:val="009D7C42"/>
    <w:rsid w:val="009F2B7B"/>
    <w:rsid w:val="00A02264"/>
    <w:rsid w:val="00A03FDC"/>
    <w:rsid w:val="00A1527A"/>
    <w:rsid w:val="00A2551B"/>
    <w:rsid w:val="00A32394"/>
    <w:rsid w:val="00A577DF"/>
    <w:rsid w:val="00A8202A"/>
    <w:rsid w:val="00AA736B"/>
    <w:rsid w:val="00AC0850"/>
    <w:rsid w:val="00AD4655"/>
    <w:rsid w:val="00B12F34"/>
    <w:rsid w:val="00B137B8"/>
    <w:rsid w:val="00B27D44"/>
    <w:rsid w:val="00B63150"/>
    <w:rsid w:val="00B91D4F"/>
    <w:rsid w:val="00B95666"/>
    <w:rsid w:val="00B9618E"/>
    <w:rsid w:val="00B971C4"/>
    <w:rsid w:val="00BD5511"/>
    <w:rsid w:val="00BF02B6"/>
    <w:rsid w:val="00C0388B"/>
    <w:rsid w:val="00C21295"/>
    <w:rsid w:val="00C23386"/>
    <w:rsid w:val="00C253F0"/>
    <w:rsid w:val="00C72DD5"/>
    <w:rsid w:val="00C73356"/>
    <w:rsid w:val="00C94F1D"/>
    <w:rsid w:val="00CB5200"/>
    <w:rsid w:val="00CB65E3"/>
    <w:rsid w:val="00CC06B8"/>
    <w:rsid w:val="00CC2EA8"/>
    <w:rsid w:val="00CF47CA"/>
    <w:rsid w:val="00D01A55"/>
    <w:rsid w:val="00D11CEB"/>
    <w:rsid w:val="00D13E88"/>
    <w:rsid w:val="00D15D00"/>
    <w:rsid w:val="00D21451"/>
    <w:rsid w:val="00D36CA0"/>
    <w:rsid w:val="00D43626"/>
    <w:rsid w:val="00D52E2C"/>
    <w:rsid w:val="00D52E34"/>
    <w:rsid w:val="00D925BC"/>
    <w:rsid w:val="00DA6D3C"/>
    <w:rsid w:val="00DC0749"/>
    <w:rsid w:val="00DC6141"/>
    <w:rsid w:val="00DD0D22"/>
    <w:rsid w:val="00DD3659"/>
    <w:rsid w:val="00DF29AA"/>
    <w:rsid w:val="00E04DF7"/>
    <w:rsid w:val="00E12EB7"/>
    <w:rsid w:val="00E25942"/>
    <w:rsid w:val="00E44C14"/>
    <w:rsid w:val="00E57EF3"/>
    <w:rsid w:val="00E63176"/>
    <w:rsid w:val="00E84746"/>
    <w:rsid w:val="00EB6908"/>
    <w:rsid w:val="00EC3C29"/>
    <w:rsid w:val="00F05958"/>
    <w:rsid w:val="00F232B1"/>
    <w:rsid w:val="00F27264"/>
    <w:rsid w:val="00F36FAF"/>
    <w:rsid w:val="00F37F91"/>
    <w:rsid w:val="00F43748"/>
    <w:rsid w:val="00F43F43"/>
    <w:rsid w:val="00F5378F"/>
    <w:rsid w:val="00F65D0C"/>
    <w:rsid w:val="00F70598"/>
    <w:rsid w:val="00FD71D3"/>
    <w:rsid w:val="00FE65C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8E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4D4B"/>
    <w:pPr>
      <w:ind w:left="720"/>
      <w:contextualSpacing/>
    </w:pPr>
  </w:style>
  <w:style w:type="paragraph" w:styleId="En-tte">
    <w:name w:val="header"/>
    <w:basedOn w:val="Normal"/>
    <w:link w:val="En-tteCar"/>
    <w:uiPriority w:val="99"/>
    <w:unhideWhenUsed/>
    <w:rsid w:val="003511D7"/>
    <w:pPr>
      <w:tabs>
        <w:tab w:val="center" w:pos="4680"/>
        <w:tab w:val="right" w:pos="9360"/>
      </w:tabs>
      <w:spacing w:after="0" w:line="240" w:lineRule="auto"/>
    </w:pPr>
  </w:style>
  <w:style w:type="character" w:customStyle="1" w:styleId="En-tteCar">
    <w:name w:val="En-tête Car"/>
    <w:basedOn w:val="Policepardfaut"/>
    <w:link w:val="En-tte"/>
    <w:uiPriority w:val="99"/>
    <w:rsid w:val="003511D7"/>
  </w:style>
  <w:style w:type="paragraph" w:styleId="Pieddepage">
    <w:name w:val="footer"/>
    <w:basedOn w:val="Normal"/>
    <w:link w:val="PieddepageCar"/>
    <w:uiPriority w:val="99"/>
    <w:unhideWhenUsed/>
    <w:rsid w:val="003511D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511D7"/>
  </w:style>
  <w:style w:type="paragraph" w:customStyle="1" w:styleId="info">
    <w:name w:val="info"/>
    <w:basedOn w:val="Normal"/>
    <w:rsid w:val="003511D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454D44"/>
    <w:rPr>
      <w:color w:val="0563C1" w:themeColor="hyperlink"/>
      <w:u w:val="single"/>
    </w:rPr>
  </w:style>
  <w:style w:type="paragraph" w:styleId="Textedebulles">
    <w:name w:val="Balloon Text"/>
    <w:basedOn w:val="Normal"/>
    <w:link w:val="TextedebullesCar"/>
    <w:uiPriority w:val="99"/>
    <w:semiHidden/>
    <w:unhideWhenUsed/>
    <w:rsid w:val="000A1E2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1E25"/>
    <w:rPr>
      <w:rFonts w:ascii="Segoe UI" w:hAnsi="Segoe UI" w:cs="Segoe UI"/>
      <w:sz w:val="18"/>
      <w:szCs w:val="18"/>
    </w:rPr>
  </w:style>
  <w:style w:type="paragraph" w:styleId="Sansinterligne">
    <w:name w:val="No Spacing"/>
    <w:uiPriority w:val="1"/>
    <w:qFormat/>
    <w:rsid w:val="00746FA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4D4B"/>
    <w:pPr>
      <w:ind w:left="720"/>
      <w:contextualSpacing/>
    </w:pPr>
  </w:style>
  <w:style w:type="paragraph" w:styleId="En-tte">
    <w:name w:val="header"/>
    <w:basedOn w:val="Normal"/>
    <w:link w:val="En-tteCar"/>
    <w:uiPriority w:val="99"/>
    <w:unhideWhenUsed/>
    <w:rsid w:val="003511D7"/>
    <w:pPr>
      <w:tabs>
        <w:tab w:val="center" w:pos="4680"/>
        <w:tab w:val="right" w:pos="9360"/>
      </w:tabs>
      <w:spacing w:after="0" w:line="240" w:lineRule="auto"/>
    </w:pPr>
  </w:style>
  <w:style w:type="character" w:customStyle="1" w:styleId="En-tteCar">
    <w:name w:val="En-tête Car"/>
    <w:basedOn w:val="Policepardfaut"/>
    <w:link w:val="En-tte"/>
    <w:uiPriority w:val="99"/>
    <w:rsid w:val="003511D7"/>
  </w:style>
  <w:style w:type="paragraph" w:styleId="Pieddepage">
    <w:name w:val="footer"/>
    <w:basedOn w:val="Normal"/>
    <w:link w:val="PieddepageCar"/>
    <w:uiPriority w:val="99"/>
    <w:unhideWhenUsed/>
    <w:rsid w:val="003511D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511D7"/>
  </w:style>
  <w:style w:type="paragraph" w:customStyle="1" w:styleId="info">
    <w:name w:val="info"/>
    <w:basedOn w:val="Normal"/>
    <w:rsid w:val="003511D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454D44"/>
    <w:rPr>
      <w:color w:val="0563C1" w:themeColor="hyperlink"/>
      <w:u w:val="single"/>
    </w:rPr>
  </w:style>
  <w:style w:type="paragraph" w:styleId="Textedebulles">
    <w:name w:val="Balloon Text"/>
    <w:basedOn w:val="Normal"/>
    <w:link w:val="TextedebullesCar"/>
    <w:uiPriority w:val="99"/>
    <w:semiHidden/>
    <w:unhideWhenUsed/>
    <w:rsid w:val="000A1E2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A1E25"/>
    <w:rPr>
      <w:rFonts w:ascii="Segoe UI" w:hAnsi="Segoe UI" w:cs="Segoe UI"/>
      <w:sz w:val="18"/>
      <w:szCs w:val="18"/>
    </w:rPr>
  </w:style>
  <w:style w:type="paragraph" w:styleId="Sansinterligne">
    <w:name w:val="No Spacing"/>
    <w:uiPriority w:val="1"/>
    <w:qFormat/>
    <w:rsid w:val="00746F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785435">
      <w:bodyDiv w:val="1"/>
      <w:marLeft w:val="0"/>
      <w:marRight w:val="0"/>
      <w:marTop w:val="0"/>
      <w:marBottom w:val="0"/>
      <w:divBdr>
        <w:top w:val="none" w:sz="0" w:space="0" w:color="auto"/>
        <w:left w:val="none" w:sz="0" w:space="0" w:color="auto"/>
        <w:bottom w:val="none" w:sz="0" w:space="0" w:color="auto"/>
        <w:right w:val="none" w:sz="0" w:space="0" w:color="auto"/>
      </w:divBdr>
      <w:divsChild>
        <w:div w:id="1353919633">
          <w:marLeft w:val="0"/>
          <w:marRight w:val="0"/>
          <w:marTop w:val="0"/>
          <w:marBottom w:val="0"/>
          <w:divBdr>
            <w:top w:val="none" w:sz="0" w:space="0" w:color="auto"/>
            <w:left w:val="none" w:sz="0" w:space="0" w:color="auto"/>
            <w:bottom w:val="none" w:sz="0" w:space="0" w:color="auto"/>
            <w:right w:val="none" w:sz="0" w:space="0" w:color="auto"/>
          </w:divBdr>
          <w:divsChild>
            <w:div w:id="44718265">
              <w:marLeft w:val="0"/>
              <w:marRight w:val="0"/>
              <w:marTop w:val="0"/>
              <w:marBottom w:val="0"/>
              <w:divBdr>
                <w:top w:val="none" w:sz="0" w:space="0" w:color="auto"/>
                <w:left w:val="none" w:sz="0" w:space="0" w:color="auto"/>
                <w:bottom w:val="none" w:sz="0" w:space="0" w:color="auto"/>
                <w:right w:val="none" w:sz="0" w:space="0" w:color="auto"/>
              </w:divBdr>
              <w:divsChild>
                <w:div w:id="411632487">
                  <w:marLeft w:val="0"/>
                  <w:marRight w:val="0"/>
                  <w:marTop w:val="0"/>
                  <w:marBottom w:val="0"/>
                  <w:divBdr>
                    <w:top w:val="none" w:sz="0" w:space="0" w:color="auto"/>
                    <w:left w:val="none" w:sz="0" w:space="0" w:color="auto"/>
                    <w:bottom w:val="none" w:sz="0" w:space="0" w:color="auto"/>
                    <w:right w:val="none" w:sz="0" w:space="0" w:color="auto"/>
                  </w:divBdr>
                  <w:divsChild>
                    <w:div w:id="1793091048">
                      <w:marLeft w:val="0"/>
                      <w:marRight w:val="0"/>
                      <w:marTop w:val="0"/>
                      <w:marBottom w:val="0"/>
                      <w:divBdr>
                        <w:top w:val="none" w:sz="0" w:space="0" w:color="auto"/>
                        <w:left w:val="none" w:sz="0" w:space="0" w:color="auto"/>
                        <w:bottom w:val="none" w:sz="0" w:space="0" w:color="auto"/>
                        <w:right w:val="none" w:sz="0" w:space="0" w:color="auto"/>
                      </w:divBdr>
                      <w:divsChild>
                        <w:div w:id="432286692">
                          <w:marLeft w:val="0"/>
                          <w:marRight w:val="0"/>
                          <w:marTop w:val="0"/>
                          <w:marBottom w:val="0"/>
                          <w:divBdr>
                            <w:top w:val="none" w:sz="0" w:space="0" w:color="auto"/>
                            <w:left w:val="none" w:sz="0" w:space="0" w:color="auto"/>
                            <w:bottom w:val="none" w:sz="0" w:space="0" w:color="auto"/>
                            <w:right w:val="none" w:sz="0" w:space="0" w:color="auto"/>
                          </w:divBdr>
                          <w:divsChild>
                            <w:div w:id="1425034309">
                              <w:marLeft w:val="0"/>
                              <w:marRight w:val="0"/>
                              <w:marTop w:val="0"/>
                              <w:marBottom w:val="0"/>
                              <w:divBdr>
                                <w:top w:val="none" w:sz="0" w:space="0" w:color="auto"/>
                                <w:left w:val="none" w:sz="0" w:space="0" w:color="auto"/>
                                <w:bottom w:val="none" w:sz="0" w:space="0" w:color="auto"/>
                                <w:right w:val="none" w:sz="0" w:space="0" w:color="auto"/>
                              </w:divBdr>
                              <w:divsChild>
                                <w:div w:id="1923375106">
                                  <w:marLeft w:val="0"/>
                                  <w:marRight w:val="0"/>
                                  <w:marTop w:val="0"/>
                                  <w:marBottom w:val="0"/>
                                  <w:divBdr>
                                    <w:top w:val="none" w:sz="0" w:space="0" w:color="auto"/>
                                    <w:left w:val="none" w:sz="0" w:space="0" w:color="auto"/>
                                    <w:bottom w:val="none" w:sz="0" w:space="0" w:color="auto"/>
                                    <w:right w:val="none" w:sz="0" w:space="0" w:color="auto"/>
                                  </w:divBdr>
                                  <w:divsChild>
                                    <w:div w:id="1592155769">
                                      <w:marLeft w:val="0"/>
                                      <w:marRight w:val="0"/>
                                      <w:marTop w:val="0"/>
                                      <w:marBottom w:val="0"/>
                                      <w:divBdr>
                                        <w:top w:val="none" w:sz="0" w:space="0" w:color="auto"/>
                                        <w:left w:val="none" w:sz="0" w:space="0" w:color="auto"/>
                                        <w:bottom w:val="none" w:sz="0" w:space="0" w:color="auto"/>
                                        <w:right w:val="none" w:sz="0" w:space="0" w:color="auto"/>
                                      </w:divBdr>
                                      <w:divsChild>
                                        <w:div w:id="14101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1264169">
      <w:bodyDiv w:val="1"/>
      <w:marLeft w:val="0"/>
      <w:marRight w:val="0"/>
      <w:marTop w:val="0"/>
      <w:marBottom w:val="0"/>
      <w:divBdr>
        <w:top w:val="none" w:sz="0" w:space="0" w:color="auto"/>
        <w:left w:val="none" w:sz="0" w:space="0" w:color="auto"/>
        <w:bottom w:val="none" w:sz="0" w:space="0" w:color="auto"/>
        <w:right w:val="none" w:sz="0" w:space="0" w:color="auto"/>
      </w:divBdr>
      <w:divsChild>
        <w:div w:id="491683107">
          <w:marLeft w:val="0"/>
          <w:marRight w:val="0"/>
          <w:marTop w:val="0"/>
          <w:marBottom w:val="0"/>
          <w:divBdr>
            <w:top w:val="none" w:sz="0" w:space="0" w:color="auto"/>
            <w:left w:val="none" w:sz="0" w:space="0" w:color="auto"/>
            <w:bottom w:val="none" w:sz="0" w:space="0" w:color="auto"/>
            <w:right w:val="none" w:sz="0" w:space="0" w:color="auto"/>
          </w:divBdr>
          <w:divsChild>
            <w:div w:id="1864242121">
              <w:marLeft w:val="0"/>
              <w:marRight w:val="0"/>
              <w:marTop w:val="0"/>
              <w:marBottom w:val="0"/>
              <w:divBdr>
                <w:top w:val="none" w:sz="0" w:space="0" w:color="auto"/>
                <w:left w:val="none" w:sz="0" w:space="0" w:color="auto"/>
                <w:bottom w:val="none" w:sz="0" w:space="0" w:color="auto"/>
                <w:right w:val="none" w:sz="0" w:space="0" w:color="auto"/>
              </w:divBdr>
              <w:divsChild>
                <w:div w:id="1907763606">
                  <w:marLeft w:val="0"/>
                  <w:marRight w:val="0"/>
                  <w:marTop w:val="0"/>
                  <w:marBottom w:val="0"/>
                  <w:divBdr>
                    <w:top w:val="none" w:sz="0" w:space="0" w:color="auto"/>
                    <w:left w:val="none" w:sz="0" w:space="0" w:color="auto"/>
                    <w:bottom w:val="none" w:sz="0" w:space="0" w:color="auto"/>
                    <w:right w:val="none" w:sz="0" w:space="0" w:color="auto"/>
                  </w:divBdr>
                  <w:divsChild>
                    <w:div w:id="1350178260">
                      <w:marLeft w:val="0"/>
                      <w:marRight w:val="0"/>
                      <w:marTop w:val="0"/>
                      <w:marBottom w:val="0"/>
                      <w:divBdr>
                        <w:top w:val="none" w:sz="0" w:space="0" w:color="auto"/>
                        <w:left w:val="none" w:sz="0" w:space="0" w:color="auto"/>
                        <w:bottom w:val="none" w:sz="0" w:space="0" w:color="auto"/>
                        <w:right w:val="none" w:sz="0" w:space="0" w:color="auto"/>
                      </w:divBdr>
                      <w:divsChild>
                        <w:div w:id="1149787702">
                          <w:marLeft w:val="0"/>
                          <w:marRight w:val="0"/>
                          <w:marTop w:val="0"/>
                          <w:marBottom w:val="0"/>
                          <w:divBdr>
                            <w:top w:val="none" w:sz="0" w:space="0" w:color="auto"/>
                            <w:left w:val="none" w:sz="0" w:space="0" w:color="auto"/>
                            <w:bottom w:val="none" w:sz="0" w:space="0" w:color="auto"/>
                            <w:right w:val="none" w:sz="0" w:space="0" w:color="auto"/>
                          </w:divBdr>
                          <w:divsChild>
                            <w:div w:id="84889250">
                              <w:marLeft w:val="0"/>
                              <w:marRight w:val="0"/>
                              <w:marTop w:val="0"/>
                              <w:marBottom w:val="0"/>
                              <w:divBdr>
                                <w:top w:val="none" w:sz="0" w:space="0" w:color="auto"/>
                                <w:left w:val="none" w:sz="0" w:space="0" w:color="auto"/>
                                <w:bottom w:val="none" w:sz="0" w:space="0" w:color="auto"/>
                                <w:right w:val="none" w:sz="0" w:space="0" w:color="auto"/>
                              </w:divBdr>
                              <w:divsChild>
                                <w:div w:id="52582309">
                                  <w:marLeft w:val="0"/>
                                  <w:marRight w:val="0"/>
                                  <w:marTop w:val="0"/>
                                  <w:marBottom w:val="0"/>
                                  <w:divBdr>
                                    <w:top w:val="none" w:sz="0" w:space="0" w:color="auto"/>
                                    <w:left w:val="none" w:sz="0" w:space="0" w:color="auto"/>
                                    <w:bottom w:val="none" w:sz="0" w:space="0" w:color="auto"/>
                                    <w:right w:val="none" w:sz="0" w:space="0" w:color="auto"/>
                                  </w:divBdr>
                                  <w:divsChild>
                                    <w:div w:id="1355572288">
                                      <w:marLeft w:val="0"/>
                                      <w:marRight w:val="0"/>
                                      <w:marTop w:val="0"/>
                                      <w:marBottom w:val="0"/>
                                      <w:divBdr>
                                        <w:top w:val="none" w:sz="0" w:space="0" w:color="auto"/>
                                        <w:left w:val="none" w:sz="0" w:space="0" w:color="auto"/>
                                        <w:bottom w:val="none" w:sz="0" w:space="0" w:color="auto"/>
                                        <w:right w:val="none" w:sz="0" w:space="0" w:color="auto"/>
                                      </w:divBdr>
                                      <w:divsChild>
                                        <w:div w:id="19831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5</Pages>
  <Words>1764</Words>
  <Characters>8398</Characters>
  <Application>Microsoft Office Word</Application>
  <DocSecurity>0</DocSecurity>
  <Lines>466</Lines>
  <Paragraphs>390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Kopf</dc:creator>
  <cp:lastModifiedBy>Luc</cp:lastModifiedBy>
  <cp:revision>7</cp:revision>
  <cp:lastPrinted>2017-11-07T17:40:00Z</cp:lastPrinted>
  <dcterms:created xsi:type="dcterms:W3CDTF">2019-11-18T13:53:00Z</dcterms:created>
  <dcterms:modified xsi:type="dcterms:W3CDTF">2019-11-18T19:32:00Z</dcterms:modified>
</cp:coreProperties>
</file>